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9756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宋体" w:hAnsi="宋体" w:eastAsia="宋体" w:cs="宋体"/>
          <w:b/>
          <w:bCs/>
          <w:i w:val="0"/>
          <w:iCs w:val="0"/>
          <w:caps w:val="0"/>
          <w:color w:val="FF0000"/>
          <w:spacing w:val="4"/>
          <w:sz w:val="36"/>
          <w:szCs w:val="36"/>
          <w:shd w:val="clear" w:fill="FFFFFF"/>
          <w:lang w:val="en-US" w:eastAsia="zh-CN"/>
        </w:rPr>
      </w:pPr>
      <w:r>
        <w:rPr>
          <w:rFonts w:hint="eastAsia" w:ascii="宋体" w:hAnsi="宋体" w:eastAsia="宋体" w:cs="宋体"/>
          <w:b/>
          <w:bCs/>
          <w:i w:val="0"/>
          <w:iCs w:val="0"/>
          <w:caps w:val="0"/>
          <w:color w:val="FF0000"/>
          <w:spacing w:val="4"/>
          <w:sz w:val="36"/>
          <w:szCs w:val="36"/>
          <w:shd w:val="clear" w:fill="FFFFFF"/>
          <w:lang w:val="en-US" w:eastAsia="zh-CN"/>
        </w:rPr>
        <w:t>威立雅环保科技（钦州）有限公司破产清算案</w:t>
      </w:r>
    </w:p>
    <w:p w14:paraId="2BC73AB0">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default" w:eastAsia="黑体"/>
          <w:lang w:val="en-US" w:eastAsia="zh-CN"/>
        </w:rPr>
      </w:pPr>
      <w:r>
        <w:rPr>
          <w:rFonts w:hint="eastAsia" w:ascii="宋体" w:hAnsi="宋体" w:eastAsia="宋体" w:cs="宋体"/>
          <w:b/>
          <w:bCs/>
          <w:i w:val="0"/>
          <w:iCs w:val="0"/>
          <w:caps w:val="0"/>
          <w:color w:val="FF0000"/>
          <w:spacing w:val="4"/>
          <w:sz w:val="36"/>
          <w:szCs w:val="36"/>
          <w:shd w:val="clear" w:fill="FFFFFF"/>
          <w:lang w:val="en-US" w:eastAsia="zh-CN"/>
        </w:rPr>
        <w:t>评选</w:t>
      </w:r>
      <w:r>
        <w:rPr>
          <w:rFonts w:hint="eastAsia" w:ascii="宋体" w:hAnsi="宋体" w:eastAsia="宋体" w:cs="宋体"/>
          <w:b/>
          <w:bCs/>
          <w:i w:val="0"/>
          <w:iCs w:val="0"/>
          <w:caps w:val="0"/>
          <w:color w:val="FF0000"/>
          <w:spacing w:val="4"/>
          <w:sz w:val="36"/>
          <w:szCs w:val="36"/>
          <w:shd w:val="clear" w:fill="FFFFFF"/>
          <w:lang w:val="en-US" w:eastAsia="zh-CN"/>
        </w:rPr>
        <w:t>审计机构和评估机构评分</w:t>
      </w:r>
      <w:r>
        <w:rPr>
          <w:rFonts w:hint="eastAsia" w:ascii="宋体" w:hAnsi="宋体" w:cs="宋体"/>
          <w:b/>
          <w:bCs/>
          <w:i w:val="0"/>
          <w:iCs w:val="0"/>
          <w:caps w:val="0"/>
          <w:color w:val="FF0000"/>
          <w:spacing w:val="4"/>
          <w:sz w:val="36"/>
          <w:szCs w:val="36"/>
          <w:shd w:val="clear" w:fill="FFFFFF"/>
          <w:lang w:val="en-US" w:eastAsia="zh-CN"/>
        </w:rPr>
        <w:t>细则</w:t>
      </w:r>
    </w:p>
    <w:p w14:paraId="5B36AC49">
      <w:pPr>
        <w:spacing w:before="0" w:after="0" w:line="360" w:lineRule="auto"/>
        <w:ind w:firstLine="480"/>
        <w:jc w:val="both"/>
        <w:rPr>
          <w:rFonts w:ascii="Times New Roman" w:hAnsi="Times New Roman" w:eastAsia="宋体" w:cs="Times New Roman"/>
          <w:sz w:val="28"/>
          <w:szCs w:val="28"/>
        </w:rPr>
      </w:pPr>
    </w:p>
    <w:p w14:paraId="32568975">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本</w:t>
      </w:r>
      <w:r>
        <w:rPr>
          <w:rFonts w:hint="eastAsia" w:ascii="仿宋" w:hAnsi="仿宋" w:eastAsia="仿宋" w:cs="仿宋"/>
          <w:sz w:val="32"/>
          <w:szCs w:val="32"/>
          <w:lang w:val="en-US" w:eastAsia="zh-CN"/>
        </w:rPr>
        <w:t>评分细则</w:t>
      </w:r>
      <w:r>
        <w:rPr>
          <w:rFonts w:hint="eastAsia" w:ascii="仿宋" w:hAnsi="仿宋" w:eastAsia="仿宋" w:cs="仿宋"/>
          <w:sz w:val="32"/>
          <w:szCs w:val="32"/>
        </w:rPr>
        <w:t>适用于威立雅环保科技（钦州）有限公司破产清算案管理人公开选聘审计机构和评估机构的综合评审活动。</w:t>
      </w:r>
    </w:p>
    <w:p w14:paraId="306D9CC4">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本次</w:t>
      </w:r>
      <w:r>
        <w:rPr>
          <w:rFonts w:hint="eastAsia" w:ascii="仿宋" w:hAnsi="仿宋" w:eastAsia="仿宋" w:cs="仿宋"/>
          <w:sz w:val="32"/>
          <w:szCs w:val="32"/>
        </w:rPr>
        <w:t>评审工作遵循公开、公平、公正、诚实信用的原则，严格按照本</w:t>
      </w:r>
      <w:r>
        <w:rPr>
          <w:rFonts w:hint="eastAsia" w:ascii="仿宋" w:hAnsi="仿宋" w:eastAsia="仿宋" w:cs="仿宋"/>
          <w:sz w:val="32"/>
          <w:szCs w:val="32"/>
          <w:lang w:val="en-US" w:eastAsia="zh-CN"/>
        </w:rPr>
        <w:t>评分细则</w:t>
      </w:r>
      <w:r>
        <w:rPr>
          <w:rFonts w:hint="eastAsia" w:ascii="仿宋" w:hAnsi="仿宋" w:eastAsia="仿宋" w:cs="仿宋"/>
          <w:sz w:val="32"/>
          <w:szCs w:val="32"/>
        </w:rPr>
        <w:t>进行。</w:t>
      </w:r>
    </w:p>
    <w:p w14:paraId="2CC28A5F">
      <w:pPr>
        <w:keepNext/>
        <w:keepLines/>
        <w:spacing w:before="300" w:after="150" w:line="360" w:lineRule="auto"/>
        <w:jc w:val="center"/>
        <w:rPr>
          <w:rFonts w:hint="eastAsia" w:ascii="仿宋" w:hAnsi="仿宋" w:eastAsia="仿宋" w:cs="仿宋"/>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评分标准</w:t>
      </w:r>
    </w:p>
    <w:p w14:paraId="307EA77F">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本次评审设五项评审因素，总分100分，各项因素及权重如下：</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22"/>
        <w:gridCol w:w="3790"/>
        <w:gridCol w:w="4514"/>
      </w:tblGrid>
      <w:tr w14:paraId="5DB3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722" w:type="dxa"/>
            <w:tcBorders>
              <w:top w:val="single" w:color="000000" w:sz="4" w:space="0"/>
              <w:left w:val="single" w:color="000000" w:sz="4" w:space="0"/>
              <w:bottom w:val="single" w:color="000000" w:sz="4" w:space="0"/>
              <w:right w:val="single" w:color="000000" w:sz="4" w:space="0"/>
            </w:tcBorders>
            <w:vAlign w:val="center"/>
          </w:tcPr>
          <w:p w14:paraId="68EB6E1B">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序号</w:t>
            </w:r>
          </w:p>
        </w:tc>
        <w:tc>
          <w:tcPr>
            <w:tcW w:w="3790" w:type="dxa"/>
            <w:tcBorders>
              <w:top w:val="single" w:color="000000" w:sz="4" w:space="0"/>
              <w:left w:val="single" w:color="000000" w:sz="4" w:space="0"/>
              <w:bottom w:val="single" w:color="000000" w:sz="4" w:space="0"/>
              <w:right w:val="single" w:color="000000" w:sz="4" w:space="0"/>
            </w:tcBorders>
            <w:vAlign w:val="center"/>
          </w:tcPr>
          <w:p w14:paraId="78D22A0A">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评审因素</w:t>
            </w:r>
          </w:p>
        </w:tc>
        <w:tc>
          <w:tcPr>
            <w:tcW w:w="4514" w:type="dxa"/>
            <w:tcBorders>
              <w:top w:val="single" w:color="000000" w:sz="4" w:space="0"/>
              <w:left w:val="single" w:color="000000" w:sz="4" w:space="0"/>
              <w:bottom w:val="single" w:color="000000" w:sz="4" w:space="0"/>
              <w:right w:val="single" w:color="000000" w:sz="4" w:space="0"/>
            </w:tcBorders>
            <w:vAlign w:val="center"/>
          </w:tcPr>
          <w:p w14:paraId="76854E51">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权重分值</w:t>
            </w:r>
          </w:p>
        </w:tc>
      </w:tr>
      <w:tr w14:paraId="6807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22" w:type="dxa"/>
            <w:tcBorders>
              <w:top w:val="single" w:color="000000" w:sz="4" w:space="0"/>
              <w:left w:val="single" w:color="000000" w:sz="4" w:space="0"/>
              <w:bottom w:val="single" w:color="000000" w:sz="4" w:space="0"/>
              <w:right w:val="single" w:color="000000" w:sz="4" w:space="0"/>
            </w:tcBorders>
            <w:vAlign w:val="center"/>
          </w:tcPr>
          <w:p w14:paraId="7BD74CE1">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1</w:t>
            </w:r>
          </w:p>
        </w:tc>
        <w:tc>
          <w:tcPr>
            <w:tcW w:w="3790" w:type="dxa"/>
            <w:tcBorders>
              <w:top w:val="single" w:color="000000" w:sz="4" w:space="0"/>
              <w:left w:val="single" w:color="000000" w:sz="4" w:space="0"/>
              <w:bottom w:val="single" w:color="000000" w:sz="4" w:space="0"/>
              <w:right w:val="single" w:color="000000" w:sz="4" w:space="0"/>
            </w:tcBorders>
            <w:vAlign w:val="center"/>
          </w:tcPr>
          <w:p w14:paraId="425ABF43">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机构资质</w:t>
            </w:r>
          </w:p>
        </w:tc>
        <w:tc>
          <w:tcPr>
            <w:tcW w:w="4514" w:type="dxa"/>
            <w:tcBorders>
              <w:top w:val="single" w:color="000000" w:sz="4" w:space="0"/>
              <w:left w:val="single" w:color="000000" w:sz="4" w:space="0"/>
              <w:bottom w:val="single" w:color="000000" w:sz="4" w:space="0"/>
              <w:right w:val="single" w:color="000000" w:sz="4" w:space="0"/>
            </w:tcBorders>
            <w:vAlign w:val="center"/>
          </w:tcPr>
          <w:p w14:paraId="052198A6">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20</w:t>
            </w:r>
          </w:p>
        </w:tc>
      </w:tr>
      <w:tr w14:paraId="145B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22" w:type="dxa"/>
            <w:tcBorders>
              <w:top w:val="single" w:color="000000" w:sz="4" w:space="0"/>
              <w:left w:val="single" w:color="000000" w:sz="4" w:space="0"/>
              <w:bottom w:val="single" w:color="000000" w:sz="4" w:space="0"/>
              <w:right w:val="single" w:color="000000" w:sz="4" w:space="0"/>
            </w:tcBorders>
            <w:vAlign w:val="center"/>
          </w:tcPr>
          <w:p w14:paraId="36922334">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2</w:t>
            </w:r>
          </w:p>
        </w:tc>
        <w:tc>
          <w:tcPr>
            <w:tcW w:w="3790" w:type="dxa"/>
            <w:tcBorders>
              <w:top w:val="single" w:color="000000" w:sz="4" w:space="0"/>
              <w:left w:val="single" w:color="000000" w:sz="4" w:space="0"/>
              <w:bottom w:val="single" w:color="000000" w:sz="4" w:space="0"/>
              <w:right w:val="single" w:color="000000" w:sz="4" w:space="0"/>
            </w:tcBorders>
            <w:vAlign w:val="center"/>
          </w:tcPr>
          <w:p w14:paraId="380340FA">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相关业绩</w:t>
            </w:r>
          </w:p>
        </w:tc>
        <w:tc>
          <w:tcPr>
            <w:tcW w:w="4514" w:type="dxa"/>
            <w:tcBorders>
              <w:top w:val="single" w:color="000000" w:sz="4" w:space="0"/>
              <w:left w:val="single" w:color="000000" w:sz="4" w:space="0"/>
              <w:bottom w:val="single" w:color="000000" w:sz="4" w:space="0"/>
              <w:right w:val="single" w:color="000000" w:sz="4" w:space="0"/>
            </w:tcBorders>
            <w:vAlign w:val="center"/>
          </w:tcPr>
          <w:p w14:paraId="441C9D8D">
            <w:pPr>
              <w:spacing w:before="30" w:after="30" w:line="300" w:lineRule="auto"/>
              <w:jc w:val="center"/>
              <w:rPr>
                <w:rFonts w:hint="eastAsia"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0</w:t>
            </w:r>
          </w:p>
        </w:tc>
      </w:tr>
      <w:tr w14:paraId="223F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22" w:type="dxa"/>
            <w:tcBorders>
              <w:top w:val="single" w:color="000000" w:sz="4" w:space="0"/>
              <w:left w:val="single" w:color="000000" w:sz="4" w:space="0"/>
              <w:bottom w:val="single" w:color="000000" w:sz="4" w:space="0"/>
              <w:right w:val="single" w:color="000000" w:sz="4" w:space="0"/>
            </w:tcBorders>
            <w:vAlign w:val="center"/>
          </w:tcPr>
          <w:p w14:paraId="33CBF927">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3</w:t>
            </w:r>
          </w:p>
        </w:tc>
        <w:tc>
          <w:tcPr>
            <w:tcW w:w="3790" w:type="dxa"/>
            <w:tcBorders>
              <w:top w:val="single" w:color="000000" w:sz="4" w:space="0"/>
              <w:left w:val="single" w:color="000000" w:sz="4" w:space="0"/>
              <w:bottom w:val="single" w:color="000000" w:sz="4" w:space="0"/>
              <w:right w:val="single" w:color="000000" w:sz="4" w:space="0"/>
            </w:tcBorders>
            <w:vAlign w:val="center"/>
          </w:tcPr>
          <w:p w14:paraId="6F836DDA">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服务方案可行性</w:t>
            </w:r>
          </w:p>
        </w:tc>
        <w:tc>
          <w:tcPr>
            <w:tcW w:w="4514" w:type="dxa"/>
            <w:tcBorders>
              <w:top w:val="single" w:color="000000" w:sz="4" w:space="0"/>
              <w:left w:val="single" w:color="000000" w:sz="4" w:space="0"/>
              <w:bottom w:val="single" w:color="000000" w:sz="4" w:space="0"/>
              <w:right w:val="single" w:color="000000" w:sz="4" w:space="0"/>
            </w:tcBorders>
            <w:vAlign w:val="center"/>
          </w:tcPr>
          <w:p w14:paraId="19DEC607">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5</w:t>
            </w:r>
          </w:p>
        </w:tc>
      </w:tr>
      <w:tr w14:paraId="2904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22" w:type="dxa"/>
            <w:tcBorders>
              <w:top w:val="single" w:color="000000" w:sz="4" w:space="0"/>
              <w:left w:val="single" w:color="000000" w:sz="4" w:space="0"/>
              <w:bottom w:val="single" w:color="000000" w:sz="4" w:space="0"/>
              <w:right w:val="single" w:color="000000" w:sz="4" w:space="0"/>
            </w:tcBorders>
            <w:vAlign w:val="center"/>
          </w:tcPr>
          <w:p w14:paraId="5D053FB7">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4</w:t>
            </w:r>
          </w:p>
        </w:tc>
        <w:tc>
          <w:tcPr>
            <w:tcW w:w="3790" w:type="dxa"/>
            <w:tcBorders>
              <w:top w:val="single" w:color="000000" w:sz="4" w:space="0"/>
              <w:left w:val="single" w:color="000000" w:sz="4" w:space="0"/>
              <w:bottom w:val="single" w:color="000000" w:sz="4" w:space="0"/>
              <w:right w:val="single" w:color="000000" w:sz="4" w:space="0"/>
            </w:tcBorders>
            <w:vAlign w:val="center"/>
          </w:tcPr>
          <w:p w14:paraId="004146C8">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项目团队配置</w:t>
            </w:r>
          </w:p>
        </w:tc>
        <w:tc>
          <w:tcPr>
            <w:tcW w:w="4514" w:type="dxa"/>
            <w:tcBorders>
              <w:top w:val="single" w:color="000000" w:sz="4" w:space="0"/>
              <w:left w:val="single" w:color="000000" w:sz="4" w:space="0"/>
              <w:bottom w:val="single" w:color="000000" w:sz="4" w:space="0"/>
              <w:right w:val="single" w:color="000000" w:sz="4" w:space="0"/>
            </w:tcBorders>
            <w:vAlign w:val="center"/>
          </w:tcPr>
          <w:p w14:paraId="08861613">
            <w:pPr>
              <w:spacing w:before="30" w:after="30" w:line="300" w:lineRule="auto"/>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15</w:t>
            </w:r>
          </w:p>
        </w:tc>
      </w:tr>
      <w:tr w14:paraId="370C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22" w:type="dxa"/>
            <w:tcBorders>
              <w:top w:val="single" w:color="000000" w:sz="4" w:space="0"/>
              <w:left w:val="single" w:color="000000" w:sz="4" w:space="0"/>
              <w:bottom w:val="single" w:color="000000" w:sz="4" w:space="0"/>
              <w:right w:val="single" w:color="000000" w:sz="4" w:space="0"/>
            </w:tcBorders>
            <w:vAlign w:val="center"/>
          </w:tcPr>
          <w:p w14:paraId="1645F992">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5</w:t>
            </w:r>
          </w:p>
        </w:tc>
        <w:tc>
          <w:tcPr>
            <w:tcW w:w="3790" w:type="dxa"/>
            <w:tcBorders>
              <w:top w:val="single" w:color="000000" w:sz="4" w:space="0"/>
              <w:left w:val="single" w:color="000000" w:sz="4" w:space="0"/>
              <w:bottom w:val="single" w:color="000000" w:sz="4" w:space="0"/>
              <w:right w:val="single" w:color="000000" w:sz="4" w:space="0"/>
            </w:tcBorders>
            <w:vAlign w:val="center"/>
          </w:tcPr>
          <w:p w14:paraId="1D7BA291">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报价合理性</w:t>
            </w:r>
          </w:p>
        </w:tc>
        <w:tc>
          <w:tcPr>
            <w:tcW w:w="4514" w:type="dxa"/>
            <w:tcBorders>
              <w:top w:val="single" w:color="000000" w:sz="4" w:space="0"/>
              <w:left w:val="single" w:color="000000" w:sz="4" w:space="0"/>
              <w:bottom w:val="single" w:color="000000" w:sz="4" w:space="0"/>
              <w:right w:val="single" w:color="000000" w:sz="4" w:space="0"/>
            </w:tcBorders>
            <w:vAlign w:val="center"/>
          </w:tcPr>
          <w:p w14:paraId="419FA58D">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20</w:t>
            </w:r>
          </w:p>
        </w:tc>
      </w:tr>
      <w:tr w14:paraId="05D5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22" w:type="dxa"/>
            <w:tcBorders>
              <w:top w:val="single" w:color="000000" w:sz="4" w:space="0"/>
              <w:left w:val="single" w:color="000000" w:sz="4" w:space="0"/>
              <w:bottom w:val="single" w:color="000000" w:sz="4" w:space="0"/>
              <w:right w:val="single" w:color="000000" w:sz="4" w:space="0"/>
            </w:tcBorders>
            <w:vAlign w:val="center"/>
          </w:tcPr>
          <w:p w14:paraId="1BC243A8">
            <w:pPr>
              <w:spacing w:before="30" w:after="30" w:line="300" w:lineRule="auto"/>
              <w:jc w:val="center"/>
              <w:rPr>
                <w:rFonts w:hint="eastAsia" w:ascii="仿宋" w:hAnsi="仿宋" w:eastAsia="仿宋" w:cs="仿宋"/>
                <w:sz w:val="32"/>
                <w:szCs w:val="32"/>
              </w:rPr>
            </w:pPr>
          </w:p>
        </w:tc>
        <w:tc>
          <w:tcPr>
            <w:tcW w:w="3790" w:type="dxa"/>
            <w:tcBorders>
              <w:top w:val="single" w:color="000000" w:sz="4" w:space="0"/>
              <w:left w:val="single" w:color="000000" w:sz="4" w:space="0"/>
              <w:bottom w:val="single" w:color="000000" w:sz="4" w:space="0"/>
              <w:right w:val="single" w:color="000000" w:sz="4" w:space="0"/>
            </w:tcBorders>
            <w:vAlign w:val="center"/>
          </w:tcPr>
          <w:p w14:paraId="08BA5540">
            <w:pPr>
              <w:spacing w:before="30" w:after="30" w:line="300" w:lineRule="auto"/>
              <w:ind w:left="60"/>
              <w:jc w:val="left"/>
              <w:rPr>
                <w:rFonts w:hint="eastAsia" w:ascii="仿宋" w:hAnsi="仿宋" w:eastAsia="仿宋" w:cs="仿宋"/>
                <w:sz w:val="32"/>
                <w:szCs w:val="32"/>
              </w:rPr>
            </w:pPr>
            <w:r>
              <w:rPr>
                <w:rFonts w:hint="eastAsia" w:ascii="仿宋" w:hAnsi="仿宋" w:eastAsia="仿宋" w:cs="仿宋"/>
                <w:b/>
                <w:bCs/>
                <w:sz w:val="32"/>
                <w:szCs w:val="32"/>
              </w:rPr>
              <w:t>合计</w:t>
            </w:r>
          </w:p>
        </w:tc>
        <w:tc>
          <w:tcPr>
            <w:tcW w:w="4514" w:type="dxa"/>
            <w:tcBorders>
              <w:top w:val="single" w:color="000000" w:sz="4" w:space="0"/>
              <w:left w:val="single" w:color="000000" w:sz="4" w:space="0"/>
              <w:bottom w:val="single" w:color="000000" w:sz="4" w:space="0"/>
              <w:right w:val="single" w:color="000000" w:sz="4" w:space="0"/>
            </w:tcBorders>
            <w:vAlign w:val="center"/>
          </w:tcPr>
          <w:p w14:paraId="23ABD6E0">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100</w:t>
            </w:r>
          </w:p>
        </w:tc>
      </w:tr>
    </w:tbl>
    <w:p w14:paraId="6B5DFC02">
      <w:pPr>
        <w:spacing w:after="100"/>
        <w:rPr>
          <w:rFonts w:hint="eastAsia" w:ascii="仿宋" w:hAnsi="仿宋" w:eastAsia="仿宋" w:cs="仿宋"/>
          <w:sz w:val="32"/>
          <w:szCs w:val="32"/>
        </w:rPr>
      </w:pPr>
    </w:p>
    <w:p w14:paraId="0C143D04">
      <w:pPr>
        <w:keepNext/>
        <w:keepLines/>
        <w:spacing w:before="150" w:after="80" w:line="360" w:lineRule="auto"/>
        <w:ind w:firstLine="480"/>
        <w:jc w:val="left"/>
        <w:rPr>
          <w:rFonts w:hint="eastAsia" w:ascii="仿宋" w:hAnsi="仿宋" w:eastAsia="仿宋" w:cs="仿宋"/>
          <w:sz w:val="32"/>
          <w:szCs w:val="32"/>
        </w:rPr>
      </w:pPr>
      <w:r>
        <w:rPr>
          <w:rFonts w:hint="eastAsia" w:ascii="仿宋" w:hAnsi="仿宋" w:eastAsia="仿宋" w:cs="仿宋"/>
          <w:b/>
          <w:bCs/>
          <w:sz w:val="32"/>
          <w:szCs w:val="32"/>
        </w:rPr>
        <w:t>（一）机构资质（20分）</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5"/>
        <w:gridCol w:w="902"/>
        <w:gridCol w:w="6139"/>
      </w:tblGrid>
      <w:tr w14:paraId="171C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1985" w:type="dxa"/>
            <w:tcBorders>
              <w:top w:val="single" w:color="000000" w:sz="4" w:space="0"/>
              <w:left w:val="single" w:color="000000" w:sz="4" w:space="0"/>
              <w:bottom w:val="single" w:color="000000" w:sz="4" w:space="0"/>
              <w:right w:val="single" w:color="000000" w:sz="4" w:space="0"/>
            </w:tcBorders>
            <w:vAlign w:val="center"/>
          </w:tcPr>
          <w:p w14:paraId="4A887E27">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评分项</w:t>
            </w:r>
          </w:p>
        </w:tc>
        <w:tc>
          <w:tcPr>
            <w:tcW w:w="902" w:type="dxa"/>
            <w:tcBorders>
              <w:top w:val="single" w:color="000000" w:sz="4" w:space="0"/>
              <w:left w:val="single" w:color="000000" w:sz="4" w:space="0"/>
              <w:bottom w:val="single" w:color="000000" w:sz="4" w:space="0"/>
              <w:right w:val="single" w:color="000000" w:sz="4" w:space="0"/>
            </w:tcBorders>
            <w:vAlign w:val="center"/>
          </w:tcPr>
          <w:p w14:paraId="00D4293A">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分值</w:t>
            </w:r>
          </w:p>
        </w:tc>
        <w:tc>
          <w:tcPr>
            <w:tcW w:w="6139" w:type="dxa"/>
            <w:tcBorders>
              <w:top w:val="single" w:color="000000" w:sz="4" w:space="0"/>
              <w:left w:val="single" w:color="000000" w:sz="4" w:space="0"/>
              <w:bottom w:val="single" w:color="000000" w:sz="4" w:space="0"/>
              <w:right w:val="single" w:color="000000" w:sz="4" w:space="0"/>
            </w:tcBorders>
            <w:vAlign w:val="center"/>
          </w:tcPr>
          <w:p w14:paraId="5CCBBE76">
            <w:pPr>
              <w:spacing w:before="30" w:after="30" w:line="300" w:lineRule="auto"/>
              <w:ind w:left="60"/>
              <w:jc w:val="center"/>
              <w:rPr>
                <w:rFonts w:hint="eastAsia" w:ascii="仿宋" w:hAnsi="仿宋" w:eastAsia="仿宋" w:cs="仿宋"/>
                <w:sz w:val="32"/>
                <w:szCs w:val="32"/>
              </w:rPr>
            </w:pPr>
            <w:r>
              <w:rPr>
                <w:rFonts w:hint="eastAsia" w:ascii="仿宋" w:hAnsi="仿宋" w:eastAsia="仿宋" w:cs="仿宋"/>
                <w:b/>
                <w:bCs/>
                <w:sz w:val="32"/>
                <w:szCs w:val="32"/>
              </w:rPr>
              <w:t>评分标准</w:t>
            </w:r>
          </w:p>
        </w:tc>
      </w:tr>
      <w:tr w14:paraId="3092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123540FC">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经营年限</w:t>
            </w:r>
          </w:p>
        </w:tc>
        <w:tc>
          <w:tcPr>
            <w:tcW w:w="902" w:type="dxa"/>
            <w:tcBorders>
              <w:top w:val="single" w:color="000000" w:sz="4" w:space="0"/>
              <w:left w:val="single" w:color="000000" w:sz="4" w:space="0"/>
              <w:bottom w:val="single" w:color="000000" w:sz="4" w:space="0"/>
              <w:right w:val="single" w:color="000000" w:sz="4" w:space="0"/>
            </w:tcBorders>
            <w:vAlign w:val="center"/>
          </w:tcPr>
          <w:p w14:paraId="4222305F">
            <w:pPr>
              <w:spacing w:before="30" w:after="30" w:line="300" w:lineRule="auto"/>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7分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7A5D03C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right="0"/>
              <w:textAlignment w:val="auto"/>
              <w:rPr>
                <w:rFonts w:hint="eastAsia" w:ascii="仿宋" w:hAnsi="仿宋" w:eastAsia="仿宋" w:cs="仿宋"/>
                <w:sz w:val="32"/>
                <w:szCs w:val="32"/>
              </w:rPr>
            </w:pPr>
            <w:r>
              <w:rPr>
                <w:rFonts w:hint="eastAsia" w:ascii="仿宋" w:hAnsi="仿宋" w:eastAsia="仿宋" w:cs="仿宋"/>
                <w:color w:val="000000"/>
                <w:kern w:val="0"/>
                <w:sz w:val="32"/>
                <w:szCs w:val="32"/>
                <w:lang/>
              </w:rPr>
              <w:t>依法设立并有效存续，</w:t>
            </w:r>
            <w:r>
              <w:rPr>
                <w:rFonts w:hint="eastAsia" w:ascii="仿宋" w:hAnsi="仿宋" w:eastAsia="仿宋" w:cs="仿宋"/>
                <w:color w:val="000000"/>
                <w:kern w:val="0"/>
                <w:sz w:val="32"/>
                <w:szCs w:val="32"/>
              </w:rPr>
              <w:t>具有独立法人资格</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rPr>
              <w:t>持续经营</w:t>
            </w:r>
            <w:r>
              <w:rPr>
                <w:rFonts w:hint="eastAsia" w:ascii="仿宋" w:hAnsi="仿宋" w:eastAsia="仿宋" w:cs="仿宋"/>
                <w:color w:val="000000"/>
                <w:kern w:val="0"/>
                <w:sz w:val="32"/>
                <w:szCs w:val="32"/>
                <w:lang w:val="en-US" w:eastAsia="zh-CN"/>
              </w:rPr>
              <w:t>满</w:t>
            </w:r>
            <w:r>
              <w:rPr>
                <w:rFonts w:hint="eastAsia" w:ascii="仿宋" w:hAnsi="仿宋" w:eastAsia="仿宋" w:cs="仿宋"/>
                <w:color w:val="000000"/>
                <w:kern w:val="0"/>
                <w:sz w:val="32"/>
                <w:szCs w:val="32"/>
                <w:lang/>
              </w:rPr>
              <w:t>三年，</w:t>
            </w:r>
            <w:r>
              <w:rPr>
                <w:rFonts w:hint="eastAsia" w:ascii="仿宋" w:hAnsi="仿宋" w:eastAsia="仿宋" w:cs="仿宋"/>
                <w:color w:val="000000"/>
                <w:kern w:val="0"/>
                <w:sz w:val="32"/>
                <w:szCs w:val="32"/>
                <w:lang w:val="en-US" w:eastAsia="zh-CN"/>
              </w:rPr>
              <w:t>得3分</w:t>
            </w:r>
            <w:r>
              <w:rPr>
                <w:rFonts w:hint="eastAsia" w:ascii="仿宋" w:hAnsi="仿宋" w:eastAsia="仿宋" w:cs="仿宋"/>
                <w:color w:val="000000"/>
                <w:kern w:val="0"/>
                <w:sz w:val="32"/>
                <w:szCs w:val="32"/>
                <w:lang/>
              </w:rPr>
              <w:t>；</w:t>
            </w:r>
            <w:r>
              <w:rPr>
                <w:rFonts w:hint="eastAsia" w:ascii="仿宋" w:hAnsi="仿宋" w:eastAsia="仿宋" w:cs="仿宋"/>
                <w:color w:val="000000"/>
                <w:kern w:val="0"/>
                <w:sz w:val="32"/>
                <w:szCs w:val="32"/>
                <w:lang w:val="en-US" w:eastAsia="zh-CN"/>
              </w:rPr>
              <w:t>每多一年加1分；本项满分7分。</w:t>
            </w:r>
          </w:p>
        </w:tc>
      </w:tr>
      <w:tr w14:paraId="253A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20D8693C">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执业资质</w:t>
            </w:r>
          </w:p>
        </w:tc>
        <w:tc>
          <w:tcPr>
            <w:tcW w:w="902" w:type="dxa"/>
            <w:tcBorders>
              <w:top w:val="single" w:color="000000" w:sz="4" w:space="0"/>
              <w:left w:val="single" w:color="000000" w:sz="4" w:space="0"/>
              <w:bottom w:val="single" w:color="000000" w:sz="4" w:space="0"/>
              <w:right w:val="single" w:color="000000" w:sz="4" w:space="0"/>
            </w:tcBorders>
            <w:vAlign w:val="center"/>
          </w:tcPr>
          <w:p w14:paraId="041A3F76">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2164C197">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具有法定执业资格（会计师事务所执业证书或资产评估机构备案证明），得</w:t>
            </w:r>
            <w:r>
              <w:rPr>
                <w:rFonts w:hint="eastAsia" w:ascii="仿宋" w:hAnsi="仿宋" w:eastAsia="仿宋" w:cs="仿宋"/>
                <w:sz w:val="32"/>
                <w:szCs w:val="32"/>
                <w:lang w:val="en-US" w:eastAsia="zh-CN"/>
              </w:rPr>
              <w:t>3</w:t>
            </w:r>
            <w:r>
              <w:rPr>
                <w:rFonts w:hint="eastAsia" w:ascii="仿宋" w:hAnsi="仿宋" w:eastAsia="仿宋" w:cs="仿宋"/>
                <w:sz w:val="32"/>
                <w:szCs w:val="32"/>
              </w:rPr>
              <w:t>分；具有其他知名国际或国内行业资质认证的，加2分。本项满分</w:t>
            </w:r>
            <w:r>
              <w:rPr>
                <w:rFonts w:hint="eastAsia" w:ascii="仿宋" w:hAnsi="仿宋" w:eastAsia="仿宋" w:cs="仿宋"/>
                <w:sz w:val="32"/>
                <w:szCs w:val="32"/>
                <w:lang w:val="en-US" w:eastAsia="zh-CN"/>
              </w:rPr>
              <w:t>7</w:t>
            </w:r>
            <w:r>
              <w:rPr>
                <w:rFonts w:hint="eastAsia" w:ascii="仿宋" w:hAnsi="仿宋" w:eastAsia="仿宋" w:cs="仿宋"/>
                <w:sz w:val="32"/>
                <w:szCs w:val="32"/>
              </w:rPr>
              <w:t>分。</w:t>
            </w:r>
          </w:p>
        </w:tc>
      </w:tr>
      <w:tr w14:paraId="49A9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34F7108C">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入库资质</w:t>
            </w:r>
          </w:p>
        </w:tc>
        <w:tc>
          <w:tcPr>
            <w:tcW w:w="902" w:type="dxa"/>
            <w:tcBorders>
              <w:top w:val="single" w:color="000000" w:sz="4" w:space="0"/>
              <w:left w:val="single" w:color="000000" w:sz="4" w:space="0"/>
              <w:bottom w:val="single" w:color="000000" w:sz="4" w:space="0"/>
              <w:right w:val="single" w:color="000000" w:sz="4" w:space="0"/>
            </w:tcBorders>
            <w:vAlign w:val="center"/>
          </w:tcPr>
          <w:p w14:paraId="0B708B76">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696C8AF8">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rPr>
              <w:t>入选《广西壮族自治区高级人民法院对外委托专业机构备选库》</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得2分；</w:t>
            </w:r>
            <w:r>
              <w:rPr>
                <w:rFonts w:hint="eastAsia" w:ascii="仿宋" w:hAnsi="仿宋" w:eastAsia="仿宋" w:cs="仿宋"/>
                <w:sz w:val="32"/>
                <w:szCs w:val="32"/>
              </w:rPr>
              <w:t>本年度已参加职业责任保险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得2分；入选广西企业破产案件管理人名册，得2分。本项满分6分。</w:t>
            </w:r>
          </w:p>
        </w:tc>
      </w:tr>
    </w:tbl>
    <w:p w14:paraId="0EF43EFA">
      <w:pPr>
        <w:spacing w:after="100"/>
        <w:rPr>
          <w:rFonts w:hint="eastAsia" w:ascii="仿宋" w:hAnsi="仿宋" w:eastAsia="仿宋" w:cs="仿宋"/>
          <w:sz w:val="32"/>
          <w:szCs w:val="32"/>
        </w:rPr>
      </w:pPr>
    </w:p>
    <w:p w14:paraId="40C382E5">
      <w:pPr>
        <w:keepNext/>
        <w:keepLines/>
        <w:spacing w:before="150" w:after="80" w:line="360" w:lineRule="auto"/>
        <w:ind w:firstLine="480"/>
        <w:jc w:val="left"/>
        <w:rPr>
          <w:rFonts w:hint="eastAsia" w:ascii="仿宋" w:hAnsi="仿宋" w:eastAsia="仿宋" w:cs="仿宋"/>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val="en-US" w:eastAsia="zh-CN"/>
        </w:rPr>
        <w:t>相关业绩</w:t>
      </w:r>
      <w:r>
        <w:rPr>
          <w:rFonts w:hint="eastAsia" w:ascii="仿宋" w:hAnsi="仿宋" w:eastAsia="仿宋" w:cs="仿宋"/>
          <w:b/>
          <w:bCs/>
          <w:sz w:val="32"/>
          <w:szCs w:val="32"/>
        </w:rPr>
        <w:t>（2</w:t>
      </w:r>
      <w:r>
        <w:rPr>
          <w:rFonts w:hint="eastAsia" w:ascii="仿宋" w:hAnsi="仿宋" w:eastAsia="仿宋" w:cs="仿宋"/>
          <w:b/>
          <w:bCs/>
          <w:sz w:val="32"/>
          <w:szCs w:val="32"/>
          <w:lang w:val="en-US" w:eastAsia="zh-CN"/>
        </w:rPr>
        <w:t>0</w:t>
      </w:r>
      <w:r>
        <w:rPr>
          <w:rFonts w:hint="eastAsia" w:ascii="仿宋" w:hAnsi="仿宋" w:eastAsia="仿宋" w:cs="仿宋"/>
          <w:b/>
          <w:bCs/>
          <w:sz w:val="32"/>
          <w:szCs w:val="32"/>
        </w:rPr>
        <w:t>分）</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5"/>
        <w:gridCol w:w="902"/>
        <w:gridCol w:w="6139"/>
      </w:tblGrid>
      <w:tr w14:paraId="016C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1985" w:type="dxa"/>
            <w:tcBorders>
              <w:top w:val="single" w:color="000000" w:sz="4" w:space="0"/>
              <w:left w:val="single" w:color="000000" w:sz="4" w:space="0"/>
              <w:bottom w:val="single" w:color="000000" w:sz="4" w:space="0"/>
              <w:right w:val="single" w:color="000000" w:sz="4" w:space="0"/>
            </w:tcBorders>
            <w:vAlign w:val="center"/>
          </w:tcPr>
          <w:p w14:paraId="532FB0C2">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评分项</w:t>
            </w:r>
          </w:p>
        </w:tc>
        <w:tc>
          <w:tcPr>
            <w:tcW w:w="902" w:type="dxa"/>
            <w:tcBorders>
              <w:top w:val="single" w:color="000000" w:sz="4" w:space="0"/>
              <w:left w:val="single" w:color="000000" w:sz="4" w:space="0"/>
              <w:bottom w:val="single" w:color="000000" w:sz="4" w:space="0"/>
              <w:right w:val="single" w:color="000000" w:sz="4" w:space="0"/>
            </w:tcBorders>
            <w:vAlign w:val="center"/>
          </w:tcPr>
          <w:p w14:paraId="693DA31F">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分值</w:t>
            </w:r>
          </w:p>
        </w:tc>
        <w:tc>
          <w:tcPr>
            <w:tcW w:w="6139" w:type="dxa"/>
            <w:tcBorders>
              <w:top w:val="single" w:color="000000" w:sz="4" w:space="0"/>
              <w:left w:val="single" w:color="000000" w:sz="4" w:space="0"/>
              <w:bottom w:val="single" w:color="000000" w:sz="4" w:space="0"/>
              <w:right w:val="single" w:color="000000" w:sz="4" w:space="0"/>
            </w:tcBorders>
            <w:vAlign w:val="center"/>
          </w:tcPr>
          <w:p w14:paraId="55B90399">
            <w:pPr>
              <w:spacing w:before="30" w:after="30" w:line="300" w:lineRule="auto"/>
              <w:ind w:left="60"/>
              <w:jc w:val="center"/>
              <w:rPr>
                <w:rFonts w:hint="eastAsia" w:ascii="仿宋" w:hAnsi="仿宋" w:eastAsia="仿宋" w:cs="仿宋"/>
                <w:sz w:val="32"/>
                <w:szCs w:val="32"/>
              </w:rPr>
            </w:pPr>
            <w:r>
              <w:rPr>
                <w:rFonts w:hint="eastAsia" w:ascii="仿宋" w:hAnsi="仿宋" w:eastAsia="仿宋" w:cs="仿宋"/>
                <w:b/>
                <w:bCs/>
                <w:sz w:val="32"/>
                <w:szCs w:val="32"/>
              </w:rPr>
              <w:t>评分标准</w:t>
            </w:r>
          </w:p>
        </w:tc>
      </w:tr>
      <w:tr w14:paraId="518F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520486F4">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破产项目经验</w:t>
            </w:r>
          </w:p>
        </w:tc>
        <w:tc>
          <w:tcPr>
            <w:tcW w:w="902" w:type="dxa"/>
            <w:tcBorders>
              <w:top w:val="single" w:color="000000" w:sz="4" w:space="0"/>
              <w:left w:val="single" w:color="000000" w:sz="4" w:space="0"/>
              <w:bottom w:val="single" w:color="000000" w:sz="4" w:space="0"/>
              <w:right w:val="single" w:color="000000" w:sz="4" w:space="0"/>
            </w:tcBorders>
            <w:vAlign w:val="center"/>
          </w:tcPr>
          <w:p w14:paraId="0A058D8E">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0</w:t>
            </w:r>
            <w:r>
              <w:rPr>
                <w:rFonts w:hint="eastAsia" w:ascii="仿宋" w:hAnsi="仿宋" w:eastAsia="仿宋" w:cs="仿宋"/>
                <w:sz w:val="32"/>
                <w:szCs w:val="32"/>
              </w:rPr>
              <w:t>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382F3130">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近三年（2023年</w:t>
            </w:r>
            <w:r>
              <w:rPr>
                <w:rFonts w:hint="eastAsia" w:ascii="仿宋" w:hAnsi="仿宋" w:eastAsia="仿宋" w:cs="仿宋"/>
                <w:sz w:val="32"/>
                <w:szCs w:val="32"/>
                <w:lang w:val="en-US" w:eastAsia="zh-CN"/>
              </w:rPr>
              <w:t>7</w:t>
            </w:r>
            <w:r>
              <w:rPr>
                <w:rFonts w:hint="eastAsia" w:ascii="仿宋" w:hAnsi="仿宋" w:eastAsia="仿宋" w:cs="仿宋"/>
                <w:sz w:val="32"/>
                <w:szCs w:val="32"/>
              </w:rPr>
              <w:t>月1日至报名截止日）承担过破产清算、重整案件中的财务审计或资产评估业务，</w:t>
            </w:r>
            <w:r>
              <w:rPr>
                <w:rFonts w:hint="eastAsia" w:ascii="仿宋" w:hAnsi="仿宋" w:eastAsia="仿宋" w:cs="仿宋"/>
                <w:sz w:val="32"/>
                <w:szCs w:val="32"/>
                <w:lang w:val="en-US" w:eastAsia="zh-CN"/>
              </w:rPr>
              <w:t>少于3个项目得0分，</w:t>
            </w:r>
            <w:r>
              <w:rPr>
                <w:rFonts w:hint="eastAsia" w:ascii="仿宋" w:hAnsi="仿宋" w:eastAsia="仿宋" w:cs="仿宋"/>
                <w:sz w:val="32"/>
                <w:szCs w:val="32"/>
              </w:rPr>
              <w:t>有</w:t>
            </w:r>
            <w:r>
              <w:rPr>
                <w:rFonts w:hint="eastAsia" w:ascii="仿宋" w:hAnsi="仿宋" w:eastAsia="仿宋" w:cs="仿宋"/>
                <w:sz w:val="32"/>
                <w:szCs w:val="32"/>
                <w:lang w:val="en-US" w:eastAsia="zh-CN"/>
              </w:rPr>
              <w:t>3</w:t>
            </w:r>
            <w:r>
              <w:rPr>
                <w:rFonts w:hint="eastAsia" w:ascii="仿宋" w:hAnsi="仿宋" w:eastAsia="仿宋" w:cs="仿宋"/>
                <w:sz w:val="32"/>
                <w:szCs w:val="32"/>
              </w:rPr>
              <w:t>个项目得</w:t>
            </w:r>
            <w:r>
              <w:rPr>
                <w:rFonts w:hint="eastAsia" w:ascii="仿宋" w:hAnsi="仿宋" w:eastAsia="仿宋" w:cs="仿宋"/>
                <w:sz w:val="32"/>
                <w:szCs w:val="32"/>
                <w:lang w:val="en-US" w:eastAsia="zh-CN"/>
              </w:rPr>
              <w:t>4</w:t>
            </w:r>
            <w:r>
              <w:rPr>
                <w:rFonts w:hint="eastAsia" w:ascii="仿宋" w:hAnsi="仿宋" w:eastAsia="仿宋" w:cs="仿宋"/>
                <w:sz w:val="32"/>
                <w:szCs w:val="32"/>
              </w:rPr>
              <w:t>分，</w:t>
            </w:r>
            <w:r>
              <w:rPr>
                <w:rFonts w:hint="eastAsia" w:ascii="仿宋" w:hAnsi="仿宋" w:eastAsia="仿宋" w:cs="仿宋"/>
                <w:sz w:val="32"/>
                <w:szCs w:val="32"/>
                <w:lang w:val="en-US" w:eastAsia="zh-CN"/>
              </w:rPr>
              <w:t>每多一个项目加2分，本项满分10分</w:t>
            </w:r>
            <w:r>
              <w:rPr>
                <w:rFonts w:hint="eastAsia" w:ascii="仿宋" w:hAnsi="仿宋" w:eastAsia="仿宋" w:cs="仿宋"/>
                <w:sz w:val="32"/>
                <w:szCs w:val="32"/>
              </w:rPr>
              <w:t>。须提供与管理人或法院签订的委托合同复印件或管理人、法院出具的证明材料作为依据。</w:t>
            </w:r>
          </w:p>
        </w:tc>
      </w:tr>
      <w:tr w14:paraId="0D13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556DACB6">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lang w:val="en-US" w:eastAsia="zh-CN"/>
              </w:rPr>
              <w:t>化工、环保</w:t>
            </w:r>
            <w:r>
              <w:rPr>
                <w:rFonts w:hint="eastAsia" w:ascii="仿宋" w:hAnsi="仿宋" w:eastAsia="仿宋" w:cs="仿宋"/>
                <w:sz w:val="32"/>
                <w:szCs w:val="32"/>
              </w:rPr>
              <w:t>行业经验</w:t>
            </w:r>
          </w:p>
        </w:tc>
        <w:tc>
          <w:tcPr>
            <w:tcW w:w="902" w:type="dxa"/>
            <w:tcBorders>
              <w:top w:val="single" w:color="000000" w:sz="4" w:space="0"/>
              <w:left w:val="single" w:color="000000" w:sz="4" w:space="0"/>
              <w:bottom w:val="single" w:color="000000" w:sz="4" w:space="0"/>
              <w:right w:val="single" w:color="000000" w:sz="4" w:space="0"/>
            </w:tcBorders>
            <w:vAlign w:val="center"/>
          </w:tcPr>
          <w:p w14:paraId="1694DEFC">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5分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765B49C6">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近</w:t>
            </w:r>
            <w:r>
              <w:rPr>
                <w:rFonts w:hint="eastAsia" w:ascii="仿宋" w:hAnsi="仿宋" w:eastAsia="仿宋" w:cs="仿宋"/>
                <w:sz w:val="32"/>
                <w:szCs w:val="32"/>
                <w:lang w:val="en-US" w:eastAsia="zh-CN"/>
              </w:rPr>
              <w:t>三</w:t>
            </w:r>
            <w:r>
              <w:rPr>
                <w:rFonts w:hint="eastAsia" w:ascii="仿宋" w:hAnsi="仿宋" w:eastAsia="仿宋" w:cs="仿宋"/>
                <w:sz w:val="32"/>
                <w:szCs w:val="32"/>
              </w:rPr>
              <w:t>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同上</w:t>
            </w:r>
            <w:r>
              <w:rPr>
                <w:rFonts w:hint="eastAsia" w:ascii="仿宋" w:hAnsi="仿宋" w:eastAsia="仿宋" w:cs="仿宋"/>
                <w:sz w:val="32"/>
                <w:szCs w:val="32"/>
                <w:lang w:eastAsia="zh-CN"/>
              </w:rPr>
              <w:t>）</w:t>
            </w:r>
            <w:r>
              <w:rPr>
                <w:rFonts w:hint="eastAsia" w:ascii="仿宋" w:hAnsi="仿宋" w:eastAsia="仿宋" w:cs="仿宋"/>
                <w:sz w:val="32"/>
                <w:szCs w:val="32"/>
              </w:rPr>
              <w:t>具有</w:t>
            </w:r>
            <w:r>
              <w:rPr>
                <w:rFonts w:hint="eastAsia" w:ascii="仿宋" w:hAnsi="仿宋" w:eastAsia="仿宋" w:cs="仿宋"/>
                <w:sz w:val="32"/>
                <w:szCs w:val="32"/>
                <w:lang w:val="en-US" w:eastAsia="zh-CN"/>
              </w:rPr>
              <w:t>化工、</w:t>
            </w:r>
            <w:r>
              <w:rPr>
                <w:rFonts w:hint="eastAsia" w:ascii="仿宋" w:hAnsi="仿宋" w:eastAsia="仿宋" w:cs="仿宋"/>
                <w:sz w:val="32"/>
                <w:szCs w:val="32"/>
              </w:rPr>
              <w:t>环保、</w:t>
            </w:r>
            <w:r>
              <w:rPr>
                <w:rFonts w:hint="eastAsia" w:ascii="仿宋" w:hAnsi="仿宋" w:eastAsia="仿宋" w:cs="仿宋"/>
                <w:sz w:val="32"/>
                <w:szCs w:val="32"/>
                <w:lang w:val="en-US" w:eastAsia="zh-CN"/>
              </w:rPr>
              <w:t>危废处置</w:t>
            </w:r>
            <w:r>
              <w:rPr>
                <w:rFonts w:hint="eastAsia" w:ascii="仿宋" w:hAnsi="仿宋" w:eastAsia="仿宋" w:cs="仿宋"/>
                <w:sz w:val="32"/>
                <w:szCs w:val="32"/>
              </w:rPr>
              <w:t>等相关行业企业的审计或评估项目经验的，得5分；无相关经验的，得0分。须提供相应合同或报告复印件。</w:t>
            </w:r>
          </w:p>
        </w:tc>
      </w:tr>
      <w:tr w14:paraId="652E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48B82408">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大型复杂项目经验</w:t>
            </w:r>
          </w:p>
        </w:tc>
        <w:tc>
          <w:tcPr>
            <w:tcW w:w="902" w:type="dxa"/>
            <w:tcBorders>
              <w:top w:val="single" w:color="000000" w:sz="4" w:space="0"/>
              <w:left w:val="single" w:color="000000" w:sz="4" w:space="0"/>
              <w:bottom w:val="single" w:color="000000" w:sz="4" w:space="0"/>
              <w:right w:val="single" w:color="000000" w:sz="4" w:space="0"/>
            </w:tcBorders>
            <w:vAlign w:val="center"/>
          </w:tcPr>
          <w:p w14:paraId="2BEE9E03">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5分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7601504D">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rPr>
              <w:t>近三年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同上</w:t>
            </w:r>
            <w:r>
              <w:rPr>
                <w:rFonts w:hint="eastAsia" w:ascii="仿宋" w:hAnsi="仿宋" w:eastAsia="仿宋" w:cs="仿宋"/>
                <w:sz w:val="32"/>
                <w:szCs w:val="32"/>
                <w:lang w:eastAsia="zh-CN"/>
              </w:rPr>
              <w:t>）</w:t>
            </w:r>
            <w:r>
              <w:rPr>
                <w:rFonts w:hint="eastAsia" w:ascii="仿宋" w:hAnsi="仿宋" w:eastAsia="仿宋" w:cs="仿宋"/>
                <w:sz w:val="32"/>
                <w:szCs w:val="32"/>
              </w:rPr>
              <w:t>承担过</w:t>
            </w:r>
            <w:r>
              <w:rPr>
                <w:rFonts w:hint="eastAsia" w:ascii="仿宋" w:hAnsi="仿宋" w:eastAsia="仿宋" w:cs="仿宋"/>
                <w:sz w:val="32"/>
                <w:szCs w:val="32"/>
                <w:lang w:val="en-US" w:eastAsia="zh-CN"/>
              </w:rPr>
              <w:t>一家</w:t>
            </w:r>
            <w:r>
              <w:rPr>
                <w:rFonts w:hint="eastAsia" w:ascii="仿宋" w:hAnsi="仿宋" w:eastAsia="仿宋" w:cs="仿宋"/>
                <w:sz w:val="32"/>
                <w:szCs w:val="32"/>
              </w:rPr>
              <w:t>资产规模</w:t>
            </w:r>
            <w:r>
              <w:rPr>
                <w:rFonts w:hint="eastAsia" w:ascii="仿宋" w:hAnsi="仿宋" w:eastAsia="仿宋" w:cs="仿宋"/>
                <w:sz w:val="32"/>
                <w:szCs w:val="32"/>
                <w:lang w:val="en-US" w:eastAsia="zh-CN"/>
              </w:rPr>
              <w:t>3</w:t>
            </w:r>
            <w:r>
              <w:rPr>
                <w:rFonts w:hint="eastAsia" w:ascii="仿宋" w:hAnsi="仿宋" w:eastAsia="仿宋" w:cs="仿宋"/>
                <w:sz w:val="32"/>
                <w:szCs w:val="32"/>
              </w:rPr>
              <w:t>亿元以上企业的审计或评估项目的，得</w:t>
            </w:r>
            <w:r>
              <w:rPr>
                <w:rFonts w:hint="eastAsia" w:ascii="仿宋" w:hAnsi="仿宋" w:eastAsia="仿宋" w:cs="仿宋"/>
                <w:sz w:val="32"/>
                <w:szCs w:val="32"/>
                <w:lang w:val="en-US" w:eastAsia="zh-CN"/>
              </w:rPr>
              <w:t>2</w:t>
            </w:r>
            <w:r>
              <w:rPr>
                <w:rFonts w:hint="eastAsia" w:ascii="仿宋" w:hAnsi="仿宋" w:eastAsia="仿宋" w:cs="仿宋"/>
                <w:sz w:val="32"/>
                <w:szCs w:val="32"/>
              </w:rPr>
              <w:t>分；</w:t>
            </w:r>
            <w:r>
              <w:rPr>
                <w:rFonts w:hint="eastAsia" w:ascii="仿宋" w:hAnsi="仿宋" w:eastAsia="仿宋" w:cs="仿宋"/>
                <w:sz w:val="32"/>
                <w:szCs w:val="32"/>
                <w:lang w:val="en-US" w:eastAsia="zh-CN"/>
              </w:rPr>
              <w:t>少于一家，不得分；每多一家加1分；本项满分5分。</w:t>
            </w:r>
          </w:p>
        </w:tc>
      </w:tr>
    </w:tbl>
    <w:p w14:paraId="5EA92A30">
      <w:pPr>
        <w:spacing w:after="100"/>
        <w:rPr>
          <w:rFonts w:hint="eastAsia" w:ascii="仿宋" w:hAnsi="仿宋" w:eastAsia="仿宋" w:cs="仿宋"/>
          <w:sz w:val="32"/>
          <w:szCs w:val="32"/>
        </w:rPr>
      </w:pPr>
    </w:p>
    <w:p w14:paraId="3C0959D4">
      <w:pPr>
        <w:keepNext/>
        <w:keepLines/>
        <w:spacing w:before="150" w:after="80" w:line="360" w:lineRule="auto"/>
        <w:ind w:firstLine="480"/>
        <w:jc w:val="left"/>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）服务方案可行性（2</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分）</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5"/>
        <w:gridCol w:w="902"/>
        <w:gridCol w:w="6139"/>
      </w:tblGrid>
      <w:tr w14:paraId="117C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1985" w:type="dxa"/>
            <w:tcBorders>
              <w:top w:val="single" w:color="000000" w:sz="4" w:space="0"/>
              <w:left w:val="single" w:color="000000" w:sz="4" w:space="0"/>
              <w:bottom w:val="single" w:color="000000" w:sz="4" w:space="0"/>
              <w:right w:val="single" w:color="000000" w:sz="4" w:space="0"/>
            </w:tcBorders>
            <w:vAlign w:val="center"/>
          </w:tcPr>
          <w:p w14:paraId="73F01C21">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评分项</w:t>
            </w:r>
          </w:p>
        </w:tc>
        <w:tc>
          <w:tcPr>
            <w:tcW w:w="902" w:type="dxa"/>
            <w:tcBorders>
              <w:top w:val="single" w:color="000000" w:sz="4" w:space="0"/>
              <w:left w:val="single" w:color="000000" w:sz="4" w:space="0"/>
              <w:bottom w:val="single" w:color="000000" w:sz="4" w:space="0"/>
              <w:right w:val="single" w:color="000000" w:sz="4" w:space="0"/>
            </w:tcBorders>
            <w:vAlign w:val="center"/>
          </w:tcPr>
          <w:p w14:paraId="77157EAE">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分值</w:t>
            </w:r>
          </w:p>
        </w:tc>
        <w:tc>
          <w:tcPr>
            <w:tcW w:w="6139" w:type="dxa"/>
            <w:tcBorders>
              <w:top w:val="single" w:color="000000" w:sz="4" w:space="0"/>
              <w:left w:val="single" w:color="000000" w:sz="4" w:space="0"/>
              <w:bottom w:val="single" w:color="000000" w:sz="4" w:space="0"/>
              <w:right w:val="single" w:color="000000" w:sz="4" w:space="0"/>
            </w:tcBorders>
            <w:vAlign w:val="center"/>
          </w:tcPr>
          <w:p w14:paraId="3570F63A">
            <w:pPr>
              <w:spacing w:before="30" w:after="30" w:line="300" w:lineRule="auto"/>
              <w:ind w:left="60"/>
              <w:jc w:val="center"/>
              <w:rPr>
                <w:rFonts w:hint="eastAsia" w:ascii="仿宋" w:hAnsi="仿宋" w:eastAsia="仿宋" w:cs="仿宋"/>
                <w:sz w:val="32"/>
                <w:szCs w:val="32"/>
              </w:rPr>
            </w:pPr>
            <w:r>
              <w:rPr>
                <w:rFonts w:hint="eastAsia" w:ascii="仿宋" w:hAnsi="仿宋" w:eastAsia="仿宋" w:cs="仿宋"/>
                <w:b/>
                <w:bCs/>
                <w:sz w:val="32"/>
                <w:szCs w:val="32"/>
              </w:rPr>
              <w:t>评分标准</w:t>
            </w:r>
          </w:p>
        </w:tc>
      </w:tr>
      <w:tr w14:paraId="20AC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60A7D2F9">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工作方案完整性</w:t>
            </w:r>
          </w:p>
        </w:tc>
        <w:tc>
          <w:tcPr>
            <w:tcW w:w="902" w:type="dxa"/>
            <w:tcBorders>
              <w:top w:val="single" w:color="000000" w:sz="4" w:space="0"/>
              <w:left w:val="single" w:color="000000" w:sz="4" w:space="0"/>
              <w:bottom w:val="single" w:color="000000" w:sz="4" w:space="0"/>
              <w:right w:val="single" w:color="000000" w:sz="4" w:space="0"/>
            </w:tcBorders>
            <w:vAlign w:val="center"/>
          </w:tcPr>
          <w:p w14:paraId="24FE239D">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8分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55ED80E3">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服务方案对项目背景理解到位，审计或评估思路清晰、方法得当、程序完整、重点突出的，得6—8分；方案较完整、基本可行的，得3—5分；方案简单粗略、针对性不强的，得0—2分。</w:t>
            </w:r>
          </w:p>
        </w:tc>
      </w:tr>
      <w:tr w14:paraId="5D49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1AD59346">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工作进度安排</w:t>
            </w:r>
          </w:p>
        </w:tc>
        <w:tc>
          <w:tcPr>
            <w:tcW w:w="902" w:type="dxa"/>
            <w:tcBorders>
              <w:top w:val="single" w:color="000000" w:sz="4" w:space="0"/>
              <w:left w:val="single" w:color="000000" w:sz="4" w:space="0"/>
              <w:bottom w:val="single" w:color="000000" w:sz="4" w:space="0"/>
              <w:right w:val="single" w:color="000000" w:sz="4" w:space="0"/>
            </w:tcBorders>
            <w:vAlign w:val="center"/>
          </w:tcPr>
          <w:p w14:paraId="5C621F71">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6分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40E13319">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工作进度计划详细合理、节点清晰，能够在管理人要求的期限内完成全部工作并出具报告的，得4—6分；进度安排基本合理、能够完成的，得2—3分；进度安排不合理或无法保证按期完成的，得0—1分。</w:t>
            </w:r>
          </w:p>
        </w:tc>
      </w:tr>
      <w:tr w14:paraId="416B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2A35C215">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质量保障措施</w:t>
            </w:r>
          </w:p>
        </w:tc>
        <w:tc>
          <w:tcPr>
            <w:tcW w:w="902" w:type="dxa"/>
            <w:tcBorders>
              <w:top w:val="single" w:color="000000" w:sz="4" w:space="0"/>
              <w:left w:val="single" w:color="000000" w:sz="4" w:space="0"/>
              <w:bottom w:val="single" w:color="000000" w:sz="4" w:space="0"/>
              <w:right w:val="single" w:color="000000" w:sz="4" w:space="0"/>
            </w:tcBorders>
            <w:vAlign w:val="center"/>
          </w:tcPr>
          <w:p w14:paraId="6D448C8A">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6分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78408E3E">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质量控制体系完善、三级复核制度健全，并针对破产项目特点制定专项保障措施的，得4—6分；有基本质量保障措施的，得2—3分；无质量保障措施或措施明显不完善的，得0—1分。</w:t>
            </w:r>
          </w:p>
        </w:tc>
      </w:tr>
      <w:tr w14:paraId="0AFA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488161E0">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述标表现</w:t>
            </w:r>
          </w:p>
        </w:tc>
        <w:tc>
          <w:tcPr>
            <w:tcW w:w="902" w:type="dxa"/>
            <w:tcBorders>
              <w:top w:val="single" w:color="000000" w:sz="4" w:space="0"/>
              <w:left w:val="single" w:color="000000" w:sz="4" w:space="0"/>
              <w:bottom w:val="single" w:color="000000" w:sz="4" w:space="0"/>
              <w:right w:val="single" w:color="000000" w:sz="4" w:space="0"/>
            </w:tcBorders>
            <w:vAlign w:val="center"/>
          </w:tcPr>
          <w:p w14:paraId="4E39BFF1">
            <w:pPr>
              <w:spacing w:before="30" w:after="30" w:line="300" w:lineRule="auto"/>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60583F01">
            <w:pPr>
              <w:spacing w:before="30" w:after="30" w:line="300" w:lineRule="auto"/>
              <w:ind w:left="6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述标人对本机构的业务情况了解透彻，对提交的服务方案理解熟悉，述标对答清晰流畅的，得4-5分；基本了解，对答较完整的，得2-3分；不了解，对答含糊其辞的，得0-1分。</w:t>
            </w:r>
          </w:p>
        </w:tc>
      </w:tr>
    </w:tbl>
    <w:p w14:paraId="6F2EB240">
      <w:pPr>
        <w:keepNext/>
        <w:keepLines/>
        <w:spacing w:before="150" w:after="80" w:line="360" w:lineRule="auto"/>
        <w:jc w:val="left"/>
        <w:rPr>
          <w:rFonts w:hint="eastAsia" w:ascii="仿宋" w:hAnsi="仿宋" w:eastAsia="仿宋" w:cs="仿宋"/>
          <w:b/>
          <w:bCs/>
          <w:sz w:val="32"/>
          <w:szCs w:val="32"/>
        </w:rPr>
      </w:pPr>
    </w:p>
    <w:p w14:paraId="30CEC2E5">
      <w:pPr>
        <w:keepNext/>
        <w:keepLines/>
        <w:spacing w:before="150" w:after="80" w:line="360" w:lineRule="auto"/>
        <w:ind w:firstLine="480"/>
        <w:jc w:val="left"/>
        <w:rPr>
          <w:rFonts w:hint="eastAsia" w:ascii="仿宋" w:hAnsi="仿宋" w:eastAsia="仿宋" w:cs="仿宋"/>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）项目团队配置（15分）</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5"/>
        <w:gridCol w:w="902"/>
        <w:gridCol w:w="6139"/>
      </w:tblGrid>
      <w:tr w14:paraId="3472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1985" w:type="dxa"/>
            <w:tcBorders>
              <w:top w:val="single" w:color="000000" w:sz="4" w:space="0"/>
              <w:left w:val="single" w:color="000000" w:sz="4" w:space="0"/>
              <w:bottom w:val="single" w:color="000000" w:sz="4" w:space="0"/>
              <w:right w:val="single" w:color="000000" w:sz="4" w:space="0"/>
            </w:tcBorders>
            <w:vAlign w:val="center"/>
          </w:tcPr>
          <w:p w14:paraId="0E7A8C76">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评分项</w:t>
            </w:r>
          </w:p>
        </w:tc>
        <w:tc>
          <w:tcPr>
            <w:tcW w:w="902" w:type="dxa"/>
            <w:tcBorders>
              <w:top w:val="single" w:color="000000" w:sz="4" w:space="0"/>
              <w:left w:val="single" w:color="000000" w:sz="4" w:space="0"/>
              <w:bottom w:val="single" w:color="000000" w:sz="4" w:space="0"/>
              <w:right w:val="single" w:color="000000" w:sz="4" w:space="0"/>
            </w:tcBorders>
            <w:vAlign w:val="center"/>
          </w:tcPr>
          <w:p w14:paraId="4DD06714">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分值</w:t>
            </w:r>
          </w:p>
        </w:tc>
        <w:tc>
          <w:tcPr>
            <w:tcW w:w="6139" w:type="dxa"/>
            <w:tcBorders>
              <w:top w:val="single" w:color="000000" w:sz="4" w:space="0"/>
              <w:left w:val="single" w:color="000000" w:sz="4" w:space="0"/>
              <w:bottom w:val="single" w:color="000000" w:sz="4" w:space="0"/>
              <w:right w:val="single" w:color="000000" w:sz="4" w:space="0"/>
            </w:tcBorders>
            <w:vAlign w:val="center"/>
          </w:tcPr>
          <w:p w14:paraId="656A1A8B">
            <w:pPr>
              <w:spacing w:before="30" w:after="30" w:line="300" w:lineRule="auto"/>
              <w:ind w:left="60"/>
              <w:jc w:val="left"/>
              <w:rPr>
                <w:rFonts w:hint="eastAsia" w:ascii="仿宋" w:hAnsi="仿宋" w:eastAsia="仿宋" w:cs="仿宋"/>
                <w:sz w:val="32"/>
                <w:szCs w:val="32"/>
              </w:rPr>
            </w:pPr>
            <w:r>
              <w:rPr>
                <w:rFonts w:hint="eastAsia" w:ascii="仿宋" w:hAnsi="仿宋" w:eastAsia="仿宋" w:cs="仿宋"/>
                <w:b/>
                <w:bCs/>
                <w:sz w:val="32"/>
                <w:szCs w:val="32"/>
              </w:rPr>
              <w:t>评分标准</w:t>
            </w:r>
          </w:p>
        </w:tc>
      </w:tr>
      <w:tr w14:paraId="4905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2FAB21A5">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项目负责人</w:t>
            </w:r>
          </w:p>
        </w:tc>
        <w:tc>
          <w:tcPr>
            <w:tcW w:w="902" w:type="dxa"/>
            <w:tcBorders>
              <w:top w:val="single" w:color="000000" w:sz="4" w:space="0"/>
              <w:left w:val="single" w:color="000000" w:sz="4" w:space="0"/>
              <w:bottom w:val="single" w:color="000000" w:sz="4" w:space="0"/>
              <w:right w:val="single" w:color="000000" w:sz="4" w:space="0"/>
            </w:tcBorders>
            <w:vAlign w:val="center"/>
          </w:tcPr>
          <w:p w14:paraId="18D9652A">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8分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4596E2A1">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项目负责人具有注册会计师（审计机构）或资产评估师（评估机构）执业资格，执业年限10年以上的，得4分；5—10年的，得2分；5年以下的，得1分。项目负责人曾担任过破产项目负责人的，得4分；曾参与过破产项目但未担任负责人的，得2分；无破产项目经验的，得0分。</w:t>
            </w:r>
          </w:p>
        </w:tc>
      </w:tr>
      <w:tr w14:paraId="1E65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07818AF4">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团队成员配置</w:t>
            </w:r>
          </w:p>
        </w:tc>
        <w:tc>
          <w:tcPr>
            <w:tcW w:w="902" w:type="dxa"/>
            <w:tcBorders>
              <w:top w:val="single" w:color="000000" w:sz="4" w:space="0"/>
              <w:left w:val="single" w:color="000000" w:sz="4" w:space="0"/>
              <w:bottom w:val="single" w:color="000000" w:sz="4" w:space="0"/>
              <w:right w:val="single" w:color="000000" w:sz="4" w:space="0"/>
            </w:tcBorders>
            <w:vAlign w:val="center"/>
          </w:tcPr>
          <w:p w14:paraId="48FED91C">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7分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6077D345">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拟派团队中具有注册会计师或资产评估师资格的专业人员</w:t>
            </w:r>
            <w:r>
              <w:rPr>
                <w:rFonts w:hint="eastAsia" w:ascii="仿宋" w:hAnsi="仿宋" w:eastAsia="仿宋" w:cs="仿宋"/>
                <w:sz w:val="32"/>
                <w:szCs w:val="32"/>
                <w:lang w:val="en-US" w:eastAsia="zh-CN"/>
              </w:rPr>
              <w:t>5</w:t>
            </w:r>
            <w:r>
              <w:rPr>
                <w:rFonts w:hint="eastAsia" w:ascii="仿宋" w:hAnsi="仿宋" w:eastAsia="仿宋" w:cs="仿宋"/>
                <w:sz w:val="32"/>
                <w:szCs w:val="32"/>
              </w:rPr>
              <w:t>人以上的，得4分；</w:t>
            </w:r>
            <w:r>
              <w:rPr>
                <w:rFonts w:hint="eastAsia" w:ascii="仿宋" w:hAnsi="仿宋" w:eastAsia="仿宋" w:cs="仿宋"/>
                <w:sz w:val="32"/>
                <w:szCs w:val="32"/>
                <w:lang w:val="en-US" w:eastAsia="zh-CN"/>
              </w:rPr>
              <w:t>2-4</w:t>
            </w:r>
            <w:r>
              <w:rPr>
                <w:rFonts w:hint="eastAsia" w:ascii="仿宋" w:hAnsi="仿宋" w:eastAsia="仿宋" w:cs="仿宋"/>
                <w:sz w:val="32"/>
                <w:szCs w:val="32"/>
              </w:rPr>
              <w:t>人的，得2分；</w:t>
            </w:r>
            <w:r>
              <w:rPr>
                <w:rFonts w:hint="eastAsia" w:ascii="仿宋" w:hAnsi="仿宋" w:eastAsia="仿宋" w:cs="仿宋"/>
                <w:sz w:val="32"/>
                <w:szCs w:val="32"/>
                <w:lang w:val="en-US" w:eastAsia="zh-CN"/>
              </w:rPr>
              <w:t>1</w:t>
            </w:r>
            <w:r>
              <w:rPr>
                <w:rFonts w:hint="eastAsia" w:ascii="仿宋" w:hAnsi="仿宋" w:eastAsia="仿宋" w:cs="仿宋"/>
                <w:sz w:val="32"/>
                <w:szCs w:val="32"/>
              </w:rPr>
              <w:t>人的，得1分。</w:t>
            </w:r>
          </w:p>
          <w:p w14:paraId="1118987B">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团队</w:t>
            </w:r>
            <w:r>
              <w:rPr>
                <w:rFonts w:hint="eastAsia" w:ascii="仿宋" w:hAnsi="仿宋" w:eastAsia="仿宋" w:cs="仿宋"/>
                <w:sz w:val="32"/>
                <w:szCs w:val="32"/>
                <w:lang w:val="en-US" w:eastAsia="zh-CN"/>
              </w:rPr>
              <w:t>总人数达10</w:t>
            </w:r>
            <w:r>
              <w:rPr>
                <w:rFonts w:hint="eastAsia" w:ascii="仿宋" w:hAnsi="仿宋" w:eastAsia="仿宋" w:cs="仿宋"/>
                <w:sz w:val="32"/>
                <w:szCs w:val="32"/>
              </w:rPr>
              <w:t>人以上的，得3分；</w:t>
            </w:r>
            <w:r>
              <w:rPr>
                <w:rFonts w:hint="eastAsia" w:ascii="仿宋" w:hAnsi="仿宋" w:eastAsia="仿宋" w:cs="仿宋"/>
                <w:sz w:val="32"/>
                <w:szCs w:val="32"/>
                <w:lang w:val="en-US" w:eastAsia="zh-CN"/>
              </w:rPr>
              <w:t>8-9</w:t>
            </w:r>
            <w:r>
              <w:rPr>
                <w:rFonts w:hint="eastAsia" w:ascii="仿宋" w:hAnsi="仿宋" w:eastAsia="仿宋" w:cs="仿宋"/>
                <w:sz w:val="32"/>
                <w:szCs w:val="32"/>
              </w:rPr>
              <w:t>人的，得2分；</w:t>
            </w:r>
            <w:r>
              <w:rPr>
                <w:rFonts w:hint="eastAsia" w:ascii="仿宋" w:hAnsi="仿宋" w:eastAsia="仿宋" w:cs="仿宋"/>
                <w:sz w:val="32"/>
                <w:szCs w:val="32"/>
                <w:lang w:val="en-US" w:eastAsia="zh-CN"/>
              </w:rPr>
              <w:t>6-7人的，得1分；5人及以下的，</w:t>
            </w:r>
            <w:r>
              <w:rPr>
                <w:rFonts w:hint="eastAsia" w:ascii="仿宋" w:hAnsi="仿宋" w:eastAsia="仿宋" w:cs="仿宋"/>
                <w:sz w:val="32"/>
                <w:szCs w:val="32"/>
              </w:rPr>
              <w:t>得0分。</w:t>
            </w:r>
          </w:p>
        </w:tc>
      </w:tr>
    </w:tbl>
    <w:p w14:paraId="4644BEF3">
      <w:pPr>
        <w:spacing w:after="100"/>
        <w:rPr>
          <w:rFonts w:hint="eastAsia" w:ascii="仿宋" w:hAnsi="仿宋" w:eastAsia="仿宋" w:cs="仿宋"/>
          <w:sz w:val="32"/>
          <w:szCs w:val="32"/>
        </w:rPr>
      </w:pPr>
    </w:p>
    <w:p w14:paraId="17FAA81E">
      <w:pPr>
        <w:keepNext/>
        <w:keepLines/>
        <w:spacing w:before="150" w:after="80" w:line="360" w:lineRule="auto"/>
        <w:ind w:firstLine="480"/>
        <w:jc w:val="left"/>
        <w:rPr>
          <w:rFonts w:hint="eastAsia" w:ascii="仿宋" w:hAnsi="仿宋" w:eastAsia="仿宋" w:cs="仿宋"/>
          <w:sz w:val="32"/>
          <w:szCs w:val="32"/>
        </w:rPr>
      </w:pPr>
      <w:r>
        <w:rPr>
          <w:rFonts w:hint="eastAsia" w:ascii="仿宋" w:hAnsi="仿宋" w:eastAsia="仿宋" w:cs="仿宋"/>
          <w:b/>
          <w:bCs/>
          <w:sz w:val="32"/>
          <w:szCs w:val="32"/>
        </w:rPr>
        <w:t>（五）报价合理性（20分）</w:t>
      </w:r>
    </w:p>
    <w:p w14:paraId="522767BF">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rPr>
        <w:t>本项采用基准价法计算报价得分，具体规则如下：</w:t>
      </w:r>
    </w:p>
    <w:tbl>
      <w:tblPr>
        <w:tblStyle w:val="12"/>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5"/>
        <w:gridCol w:w="902"/>
        <w:gridCol w:w="6139"/>
      </w:tblGrid>
      <w:tr w14:paraId="2C35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1985" w:type="dxa"/>
            <w:tcBorders>
              <w:top w:val="single" w:color="000000" w:sz="4" w:space="0"/>
              <w:left w:val="single" w:color="000000" w:sz="4" w:space="0"/>
              <w:bottom w:val="single" w:color="000000" w:sz="4" w:space="0"/>
              <w:right w:val="single" w:color="000000" w:sz="4" w:space="0"/>
            </w:tcBorders>
            <w:vAlign w:val="center"/>
          </w:tcPr>
          <w:p w14:paraId="710DE150">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评分项</w:t>
            </w:r>
          </w:p>
        </w:tc>
        <w:tc>
          <w:tcPr>
            <w:tcW w:w="902" w:type="dxa"/>
            <w:tcBorders>
              <w:top w:val="single" w:color="000000" w:sz="4" w:space="0"/>
              <w:left w:val="single" w:color="000000" w:sz="4" w:space="0"/>
              <w:bottom w:val="single" w:color="000000" w:sz="4" w:space="0"/>
              <w:right w:val="single" w:color="000000" w:sz="4" w:space="0"/>
            </w:tcBorders>
            <w:vAlign w:val="center"/>
          </w:tcPr>
          <w:p w14:paraId="3590B131">
            <w:pPr>
              <w:spacing w:before="30" w:after="30" w:line="300" w:lineRule="auto"/>
              <w:jc w:val="center"/>
              <w:rPr>
                <w:rFonts w:hint="eastAsia" w:ascii="仿宋" w:hAnsi="仿宋" w:eastAsia="仿宋" w:cs="仿宋"/>
                <w:sz w:val="32"/>
                <w:szCs w:val="32"/>
              </w:rPr>
            </w:pPr>
            <w:r>
              <w:rPr>
                <w:rFonts w:hint="eastAsia" w:ascii="仿宋" w:hAnsi="仿宋" w:eastAsia="仿宋" w:cs="仿宋"/>
                <w:b/>
                <w:bCs/>
                <w:sz w:val="32"/>
                <w:szCs w:val="32"/>
              </w:rPr>
              <w:t>分值</w:t>
            </w:r>
          </w:p>
        </w:tc>
        <w:tc>
          <w:tcPr>
            <w:tcW w:w="6139" w:type="dxa"/>
            <w:tcBorders>
              <w:top w:val="single" w:color="000000" w:sz="4" w:space="0"/>
              <w:left w:val="single" w:color="000000" w:sz="4" w:space="0"/>
              <w:bottom w:val="single" w:color="000000" w:sz="4" w:space="0"/>
              <w:right w:val="single" w:color="000000" w:sz="4" w:space="0"/>
            </w:tcBorders>
            <w:vAlign w:val="center"/>
          </w:tcPr>
          <w:p w14:paraId="48EC5DE9">
            <w:pPr>
              <w:spacing w:before="30" w:after="30" w:line="300" w:lineRule="auto"/>
              <w:ind w:left="60"/>
              <w:jc w:val="left"/>
              <w:rPr>
                <w:rFonts w:hint="eastAsia" w:ascii="仿宋" w:hAnsi="仿宋" w:eastAsia="仿宋" w:cs="仿宋"/>
                <w:sz w:val="32"/>
                <w:szCs w:val="32"/>
              </w:rPr>
            </w:pPr>
            <w:r>
              <w:rPr>
                <w:rFonts w:hint="eastAsia" w:ascii="仿宋" w:hAnsi="仿宋" w:eastAsia="仿宋" w:cs="仿宋"/>
                <w:b/>
                <w:bCs/>
                <w:sz w:val="32"/>
                <w:szCs w:val="32"/>
              </w:rPr>
              <w:t>评分标准</w:t>
            </w:r>
          </w:p>
        </w:tc>
      </w:tr>
      <w:tr w14:paraId="4F80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5DC27B34">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评审基准价</w:t>
            </w:r>
          </w:p>
        </w:tc>
        <w:tc>
          <w:tcPr>
            <w:tcW w:w="902" w:type="dxa"/>
            <w:tcBorders>
              <w:top w:val="single" w:color="000000" w:sz="4" w:space="0"/>
              <w:left w:val="single" w:color="000000" w:sz="4" w:space="0"/>
              <w:bottom w:val="single" w:color="000000" w:sz="4" w:space="0"/>
              <w:right w:val="single" w:color="000000" w:sz="4" w:space="0"/>
            </w:tcBorders>
            <w:vAlign w:val="center"/>
          </w:tcPr>
          <w:p w14:paraId="39C2B62A">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w:t>
            </w:r>
          </w:p>
        </w:tc>
        <w:tc>
          <w:tcPr>
            <w:tcW w:w="6139" w:type="dxa"/>
            <w:tcBorders>
              <w:top w:val="single" w:color="000000" w:sz="4" w:space="0"/>
              <w:left w:val="single" w:color="000000" w:sz="4" w:space="0"/>
              <w:bottom w:val="single" w:color="000000" w:sz="4" w:space="0"/>
              <w:right w:val="single" w:color="000000" w:sz="4" w:space="0"/>
            </w:tcBorders>
            <w:vAlign w:val="center"/>
          </w:tcPr>
          <w:p w14:paraId="350E007A">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以通过资格审查的全部机构有效报价的算术平均值为评审基准价。有效报价指符合选聘公告要求、在合理范围内的报价。</w:t>
            </w:r>
          </w:p>
        </w:tc>
      </w:tr>
      <w:tr w14:paraId="7A3B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600BF6C7">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报价得分</w:t>
            </w:r>
          </w:p>
        </w:tc>
        <w:tc>
          <w:tcPr>
            <w:tcW w:w="902" w:type="dxa"/>
            <w:tcBorders>
              <w:top w:val="single" w:color="000000" w:sz="4" w:space="0"/>
              <w:left w:val="single" w:color="000000" w:sz="4" w:space="0"/>
              <w:bottom w:val="single" w:color="000000" w:sz="4" w:space="0"/>
              <w:right w:val="single" w:color="000000" w:sz="4" w:space="0"/>
            </w:tcBorders>
            <w:vAlign w:val="center"/>
          </w:tcPr>
          <w:p w14:paraId="05F3F978">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20分</w:t>
            </w:r>
          </w:p>
        </w:tc>
        <w:tc>
          <w:tcPr>
            <w:tcW w:w="6139" w:type="dxa"/>
            <w:tcBorders>
              <w:top w:val="single" w:color="000000" w:sz="4" w:space="0"/>
              <w:left w:val="single" w:color="000000" w:sz="4" w:space="0"/>
              <w:bottom w:val="single" w:color="000000" w:sz="4" w:space="0"/>
              <w:right w:val="single" w:color="000000" w:sz="4" w:space="0"/>
            </w:tcBorders>
            <w:vAlign w:val="center"/>
          </w:tcPr>
          <w:p w14:paraId="6833EE55">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报价等于评审基准价的，得</w:t>
            </w:r>
            <w:r>
              <w:rPr>
                <w:rFonts w:hint="eastAsia" w:ascii="仿宋" w:hAnsi="仿宋" w:eastAsia="仿宋" w:cs="仿宋"/>
                <w:sz w:val="32"/>
                <w:szCs w:val="32"/>
                <w:lang w:val="en-US" w:eastAsia="zh-CN"/>
              </w:rPr>
              <w:t>15</w:t>
            </w:r>
            <w:r>
              <w:rPr>
                <w:rFonts w:hint="eastAsia" w:ascii="仿宋" w:hAnsi="仿宋" w:eastAsia="仿宋" w:cs="仿宋"/>
                <w:sz w:val="32"/>
                <w:szCs w:val="32"/>
              </w:rPr>
              <w:t>分。报价高于基准价的，每高于1</w:t>
            </w:r>
            <w:r>
              <w:rPr>
                <w:rFonts w:hint="eastAsia" w:ascii="仿宋" w:hAnsi="仿宋" w:eastAsia="仿宋" w:cs="仿宋"/>
                <w:sz w:val="32"/>
                <w:szCs w:val="32"/>
                <w:lang w:val="en-US" w:eastAsia="zh-CN"/>
              </w:rPr>
              <w:t>0</w:t>
            </w:r>
            <w:r>
              <w:rPr>
                <w:rFonts w:hint="eastAsia" w:ascii="仿宋" w:hAnsi="仿宋" w:eastAsia="仿宋" w:cs="仿宋"/>
                <w:sz w:val="32"/>
                <w:szCs w:val="32"/>
              </w:rPr>
              <w:t>%扣1分；报价低于基准价的，每低于1</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val="en-US" w:eastAsia="zh-CN"/>
              </w:rPr>
              <w:t>加1</w:t>
            </w:r>
            <w:r>
              <w:rPr>
                <w:rFonts w:hint="eastAsia" w:ascii="仿宋" w:hAnsi="仿宋" w:eastAsia="仿宋" w:cs="仿宋"/>
                <w:sz w:val="32"/>
                <w:szCs w:val="32"/>
              </w:rPr>
              <w:t>分。</w:t>
            </w:r>
            <w:r>
              <w:rPr>
                <w:rFonts w:hint="eastAsia" w:ascii="仿宋" w:hAnsi="仿宋" w:eastAsia="仿宋" w:cs="仿宋"/>
                <w:sz w:val="32"/>
                <w:szCs w:val="32"/>
                <w:lang w:val="en-US" w:eastAsia="zh-CN"/>
              </w:rPr>
              <w:t>比例数值非整十时，按整十四舍五入后取整计算</w:t>
            </w:r>
            <w:r>
              <w:rPr>
                <w:rFonts w:hint="eastAsia" w:ascii="仿宋" w:hAnsi="仿宋" w:eastAsia="仿宋" w:cs="仿宋"/>
                <w:sz w:val="32"/>
                <w:szCs w:val="32"/>
              </w:rPr>
              <w:t>，</w:t>
            </w:r>
            <w:r>
              <w:rPr>
                <w:rFonts w:hint="eastAsia" w:ascii="仿宋" w:hAnsi="仿宋" w:eastAsia="仿宋" w:cs="仿宋"/>
                <w:sz w:val="32"/>
                <w:szCs w:val="32"/>
                <w:lang w:val="en-US" w:eastAsia="zh-CN"/>
              </w:rPr>
              <w:t>若为扣分，则</w:t>
            </w:r>
            <w:r>
              <w:rPr>
                <w:rFonts w:hint="eastAsia" w:ascii="仿宋" w:hAnsi="仿宋" w:eastAsia="仿宋" w:cs="仿宋"/>
                <w:sz w:val="32"/>
                <w:szCs w:val="32"/>
              </w:rPr>
              <w:t>扣完为止</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若为加分，则满分为20分。</w:t>
            </w:r>
            <w:r>
              <w:rPr>
                <w:rFonts w:hint="eastAsia" w:ascii="仿宋" w:hAnsi="仿宋" w:eastAsia="仿宋" w:cs="仿宋"/>
                <w:sz w:val="32"/>
                <w:szCs w:val="32"/>
              </w:rPr>
              <w:t>计算公式：高于基准价时，得分=</w:t>
            </w:r>
            <w:r>
              <w:rPr>
                <w:rFonts w:hint="eastAsia" w:ascii="仿宋" w:hAnsi="仿宋" w:eastAsia="仿宋" w:cs="仿宋"/>
                <w:sz w:val="32"/>
                <w:szCs w:val="32"/>
                <w:lang w:val="en-US" w:eastAsia="zh-CN"/>
              </w:rPr>
              <w:t>15</w:t>
            </w:r>
            <w:r>
              <w:rPr>
                <w:rFonts w:hint="eastAsia" w:ascii="仿宋" w:hAnsi="仿宋" w:eastAsia="仿宋" w:cs="仿宋"/>
                <w:sz w:val="32"/>
                <w:szCs w:val="32"/>
              </w:rPr>
              <w:t>-</w:t>
            </w:r>
            <w:r>
              <w:rPr>
                <w:rFonts w:hint="eastAsia" w:ascii="仿宋" w:hAnsi="仿宋" w:eastAsia="仿宋" w:cs="仿宋"/>
                <w:sz w:val="32"/>
                <w:szCs w:val="32"/>
                <w:lang w:val="en-US" w:eastAsia="zh-CN"/>
              </w:rPr>
              <w:t>[</w:t>
            </w:r>
            <w:r>
              <w:rPr>
                <w:rFonts w:hint="eastAsia" w:ascii="仿宋" w:hAnsi="仿宋" w:eastAsia="仿宋" w:cs="仿宋"/>
                <w:sz w:val="32"/>
                <w:szCs w:val="32"/>
              </w:rPr>
              <w:t>（报价-基准价）÷基准价</w:t>
            </w:r>
            <w:r>
              <w:rPr>
                <w:rFonts w:hint="eastAsia" w:ascii="仿宋" w:hAnsi="仿宋" w:eastAsia="仿宋" w:cs="仿宋"/>
                <w:sz w:val="32"/>
                <w:szCs w:val="32"/>
              </w:rPr>
              <w:t>÷</w:t>
            </w:r>
            <w:r>
              <w:rPr>
                <w:rFonts w:hint="eastAsia" w:ascii="仿宋" w:hAnsi="仿宋" w:eastAsia="仿宋" w:cs="仿宋"/>
                <w:sz w:val="32"/>
                <w:szCs w:val="32"/>
                <w:lang w:val="en-US" w:eastAsia="zh-CN"/>
              </w:rPr>
              <w:t>10%</w:t>
            </w:r>
            <w:r>
              <w:rPr>
                <w:rFonts w:hint="eastAsia" w:ascii="仿宋" w:hAnsi="仿宋" w:eastAsia="仿宋" w:cs="仿宋"/>
                <w:sz w:val="32"/>
                <w:szCs w:val="32"/>
                <w:lang w:val="en-US" w:eastAsia="zh-CN"/>
              </w:rPr>
              <w:t>]四舍五入后取整数</w:t>
            </w:r>
            <w:r>
              <w:rPr>
                <w:rFonts w:hint="eastAsia" w:ascii="仿宋" w:hAnsi="仿宋" w:eastAsia="仿宋" w:cs="仿宋"/>
                <w:sz w:val="32"/>
                <w:szCs w:val="32"/>
              </w:rPr>
              <w:t>×1；低于基准价时，得分=</w:t>
            </w:r>
            <w:r>
              <w:rPr>
                <w:rFonts w:hint="eastAsia" w:ascii="仿宋" w:hAnsi="仿宋" w:eastAsia="仿宋" w:cs="仿宋"/>
                <w:sz w:val="32"/>
                <w:szCs w:val="32"/>
                <w:lang w:val="en-US" w:eastAsia="zh-CN"/>
              </w:rPr>
              <w:t>15+[</w:t>
            </w:r>
            <w:r>
              <w:rPr>
                <w:rFonts w:hint="eastAsia" w:ascii="仿宋" w:hAnsi="仿宋" w:eastAsia="仿宋" w:cs="仿宋"/>
                <w:sz w:val="32"/>
                <w:szCs w:val="32"/>
              </w:rPr>
              <w:t>（基准价</w:t>
            </w:r>
            <w:r>
              <w:rPr>
                <w:rFonts w:hint="eastAsia" w:ascii="仿宋" w:hAnsi="仿宋" w:eastAsia="仿宋" w:cs="仿宋"/>
                <w:sz w:val="32"/>
                <w:szCs w:val="32"/>
                <w:lang w:val="en-US" w:eastAsia="zh-CN"/>
              </w:rPr>
              <w:t>-</w:t>
            </w:r>
            <w:r>
              <w:rPr>
                <w:rFonts w:hint="eastAsia" w:ascii="仿宋" w:hAnsi="仿宋" w:eastAsia="仿宋" w:cs="仿宋"/>
                <w:sz w:val="32"/>
                <w:szCs w:val="32"/>
              </w:rPr>
              <w:t>报价）÷基准价÷</w:t>
            </w:r>
            <w:r>
              <w:rPr>
                <w:rFonts w:hint="eastAsia" w:ascii="仿宋" w:hAnsi="仿宋" w:eastAsia="仿宋" w:cs="仿宋"/>
                <w:sz w:val="32"/>
                <w:szCs w:val="32"/>
                <w:lang w:val="en-US" w:eastAsia="zh-CN"/>
              </w:rPr>
              <w:t>10%]四舍五入后取整数</w:t>
            </w:r>
            <w:r>
              <w:rPr>
                <w:rFonts w:hint="eastAsia" w:ascii="仿宋" w:hAnsi="仿宋" w:eastAsia="仿宋" w:cs="仿宋"/>
                <w:sz w:val="32"/>
                <w:szCs w:val="32"/>
              </w:rPr>
              <w:t>×1</w:t>
            </w:r>
            <w:r>
              <w:rPr>
                <w:rFonts w:hint="eastAsia" w:ascii="仿宋" w:hAnsi="仿宋" w:eastAsia="仿宋" w:cs="仿宋"/>
                <w:sz w:val="32"/>
                <w:szCs w:val="32"/>
              </w:rPr>
              <w:t>。</w:t>
            </w:r>
          </w:p>
        </w:tc>
      </w:tr>
      <w:tr w14:paraId="4449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5" w:type="dxa"/>
            <w:tcBorders>
              <w:top w:val="single" w:color="000000" w:sz="4" w:space="0"/>
              <w:left w:val="single" w:color="000000" w:sz="4" w:space="0"/>
              <w:bottom w:val="single" w:color="000000" w:sz="4" w:space="0"/>
              <w:right w:val="single" w:color="000000" w:sz="4" w:space="0"/>
            </w:tcBorders>
            <w:vAlign w:val="center"/>
          </w:tcPr>
          <w:p w14:paraId="7BC0F758">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异常低报价</w:t>
            </w:r>
          </w:p>
        </w:tc>
        <w:tc>
          <w:tcPr>
            <w:tcW w:w="902" w:type="dxa"/>
            <w:tcBorders>
              <w:top w:val="single" w:color="000000" w:sz="4" w:space="0"/>
              <w:left w:val="single" w:color="000000" w:sz="4" w:space="0"/>
              <w:bottom w:val="single" w:color="000000" w:sz="4" w:space="0"/>
              <w:right w:val="single" w:color="000000" w:sz="4" w:space="0"/>
            </w:tcBorders>
            <w:vAlign w:val="center"/>
          </w:tcPr>
          <w:p w14:paraId="1CA6DF62">
            <w:pPr>
              <w:spacing w:before="30" w:after="30" w:line="300" w:lineRule="auto"/>
              <w:jc w:val="center"/>
              <w:rPr>
                <w:rFonts w:hint="eastAsia" w:ascii="仿宋" w:hAnsi="仿宋" w:eastAsia="仿宋" w:cs="仿宋"/>
                <w:sz w:val="32"/>
                <w:szCs w:val="32"/>
              </w:rPr>
            </w:pPr>
            <w:r>
              <w:rPr>
                <w:rFonts w:hint="eastAsia" w:ascii="仿宋" w:hAnsi="仿宋" w:eastAsia="仿宋" w:cs="仿宋"/>
                <w:sz w:val="32"/>
                <w:szCs w:val="32"/>
              </w:rPr>
              <w:t>—</w:t>
            </w:r>
          </w:p>
        </w:tc>
        <w:tc>
          <w:tcPr>
            <w:tcW w:w="6139" w:type="dxa"/>
            <w:tcBorders>
              <w:top w:val="single" w:color="000000" w:sz="4" w:space="0"/>
              <w:left w:val="single" w:color="000000" w:sz="4" w:space="0"/>
              <w:bottom w:val="single" w:color="000000" w:sz="4" w:space="0"/>
              <w:right w:val="single" w:color="000000" w:sz="4" w:space="0"/>
            </w:tcBorders>
            <w:vAlign w:val="center"/>
          </w:tcPr>
          <w:p w14:paraId="10A159C2">
            <w:pPr>
              <w:spacing w:before="30" w:after="30" w:line="300" w:lineRule="auto"/>
              <w:ind w:left="60"/>
              <w:jc w:val="left"/>
              <w:rPr>
                <w:rFonts w:hint="eastAsia" w:ascii="仿宋" w:hAnsi="仿宋" w:eastAsia="仿宋" w:cs="仿宋"/>
                <w:sz w:val="32"/>
                <w:szCs w:val="32"/>
              </w:rPr>
            </w:pPr>
            <w:r>
              <w:rPr>
                <w:rFonts w:hint="eastAsia" w:ascii="仿宋" w:hAnsi="仿宋" w:eastAsia="仿宋" w:cs="仿宋"/>
                <w:sz w:val="32"/>
                <w:szCs w:val="32"/>
              </w:rPr>
              <w:t>报价明显低于其他有效报价平均值的30%以上，评审小组有权要求该机构作出书面说明并提供相关证明材料；无法合理说明的，评审小组可认定其为无效报价。</w:t>
            </w:r>
          </w:p>
        </w:tc>
      </w:tr>
    </w:tbl>
    <w:p w14:paraId="455F6231">
      <w:pPr>
        <w:keepNext/>
        <w:keepLines/>
        <w:spacing w:before="300" w:after="150" w:line="360" w:lineRule="auto"/>
        <w:jc w:val="center"/>
        <w:rPr>
          <w:rFonts w:hint="eastAsia" w:ascii="仿宋" w:hAnsi="仿宋" w:eastAsia="仿宋" w:cs="仿宋"/>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评分规则</w:t>
      </w:r>
    </w:p>
    <w:p w14:paraId="7F2E062C">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lang w:val="en-US" w:eastAsia="zh-CN"/>
        </w:rPr>
        <w:t>（六）</w:t>
      </w:r>
      <w:r>
        <w:rPr>
          <w:rFonts w:hint="eastAsia" w:ascii="仿宋" w:hAnsi="仿宋" w:eastAsia="仿宋" w:cs="仿宋"/>
          <w:sz w:val="32"/>
          <w:szCs w:val="32"/>
        </w:rPr>
        <w:t>评审小组各成员独立打分，打分一经完成不得更改。</w:t>
      </w:r>
    </w:p>
    <w:p w14:paraId="5FDA4EE6">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每个机构的最终得分按以下方式计算：</w:t>
      </w:r>
      <w:r>
        <w:rPr>
          <w:rFonts w:hint="eastAsia" w:ascii="仿宋" w:hAnsi="仿宋" w:eastAsia="仿宋" w:cs="仿宋"/>
          <w:sz w:val="32"/>
          <w:szCs w:val="32"/>
          <w:lang w:val="en-US" w:eastAsia="zh-CN"/>
        </w:rPr>
        <w:t>所有</w:t>
      </w:r>
      <w:r>
        <w:rPr>
          <w:rFonts w:hint="eastAsia" w:ascii="仿宋" w:hAnsi="仿宋" w:eastAsia="仿宋" w:cs="仿宋"/>
          <w:sz w:val="32"/>
          <w:szCs w:val="32"/>
        </w:rPr>
        <w:t>评委打分的算术平均值即为该机构的最终得分。</w:t>
      </w:r>
    </w:p>
    <w:p w14:paraId="041E9DFB">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lang w:val="en-US" w:eastAsia="zh-CN"/>
        </w:rPr>
        <w:t>（八）</w:t>
      </w:r>
      <w:r>
        <w:rPr>
          <w:rFonts w:hint="eastAsia" w:ascii="仿宋" w:hAnsi="仿宋" w:eastAsia="仿宋" w:cs="仿宋"/>
          <w:sz w:val="32"/>
          <w:szCs w:val="32"/>
        </w:rPr>
        <w:t>最终得分</w:t>
      </w:r>
      <w:r>
        <w:rPr>
          <w:rFonts w:hint="eastAsia" w:ascii="仿宋" w:hAnsi="仿宋" w:eastAsia="仿宋" w:cs="仿宋"/>
          <w:sz w:val="32"/>
          <w:szCs w:val="32"/>
          <w:lang w:val="en-US" w:eastAsia="zh-CN"/>
        </w:rPr>
        <w:t>四舍五入后</w:t>
      </w:r>
      <w:r>
        <w:rPr>
          <w:rFonts w:hint="eastAsia" w:ascii="仿宋" w:hAnsi="仿宋" w:eastAsia="仿宋" w:cs="仿宋"/>
          <w:sz w:val="32"/>
          <w:szCs w:val="32"/>
        </w:rPr>
        <w:t>保留小数点后两位数字。</w:t>
      </w:r>
    </w:p>
    <w:p w14:paraId="6F55121F">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lang w:val="en-US" w:eastAsia="zh-CN"/>
        </w:rPr>
        <w:t>（九）</w:t>
      </w:r>
      <w:r>
        <w:rPr>
          <w:rFonts w:hint="eastAsia" w:ascii="仿宋" w:hAnsi="仿宋" w:eastAsia="仿宋" w:cs="仿宋"/>
          <w:sz w:val="32"/>
          <w:szCs w:val="32"/>
        </w:rPr>
        <w:t>评委打分应当在评分表上签字确认。评分表存在以下情形之一的，该项打分无效：（1）未签字的；（2）打分超出规定分值范围的；（3）字迹模糊无法辨认的。</w:t>
      </w:r>
    </w:p>
    <w:p w14:paraId="77258E9B">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（十）</w:t>
      </w:r>
      <w:r>
        <w:rPr>
          <w:rFonts w:hint="eastAsia" w:ascii="仿宋" w:hAnsi="仿宋" w:eastAsia="仿宋" w:cs="仿宋"/>
          <w:sz w:val="32"/>
          <w:szCs w:val="32"/>
        </w:rPr>
        <w:t>评审过程中，评委对报名材料中的异议事项可以提出意见，由评审小组集体研究确定。意见分歧较大的，采取少数服从多数的原则表决确定。</w:t>
      </w:r>
    </w:p>
    <w:p w14:paraId="4AB7813C">
      <w:pPr>
        <w:keepNext/>
        <w:keepLines/>
        <w:spacing w:before="300" w:after="150" w:line="360" w:lineRule="auto"/>
        <w:jc w:val="center"/>
        <w:rPr>
          <w:rFonts w:hint="eastAsia" w:ascii="仿宋" w:hAnsi="仿宋" w:eastAsia="仿宋" w:cs="仿宋"/>
          <w:sz w:val="32"/>
          <w:szCs w:val="32"/>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中选机构的确定</w:t>
      </w:r>
    </w:p>
    <w:p w14:paraId="5A5252AF">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（十一）</w:t>
      </w:r>
      <w:r>
        <w:rPr>
          <w:rFonts w:hint="eastAsia" w:ascii="仿宋" w:hAnsi="仿宋" w:eastAsia="仿宋" w:cs="仿宋"/>
          <w:sz w:val="32"/>
          <w:szCs w:val="32"/>
        </w:rPr>
        <w:t>管理人根据评审小组的最终得分，按得分从高到低排序，得分最高的机构为</w:t>
      </w:r>
      <w:r>
        <w:rPr>
          <w:rFonts w:hint="eastAsia" w:ascii="仿宋" w:hAnsi="仿宋" w:eastAsia="仿宋" w:cs="仿宋"/>
          <w:sz w:val="32"/>
          <w:szCs w:val="32"/>
          <w:lang w:val="en-US" w:eastAsia="zh-CN"/>
        </w:rPr>
        <w:t>首选</w:t>
      </w:r>
      <w:r>
        <w:rPr>
          <w:rFonts w:hint="eastAsia" w:ascii="仿宋" w:hAnsi="仿宋" w:eastAsia="仿宋" w:cs="仿宋"/>
          <w:sz w:val="32"/>
          <w:szCs w:val="32"/>
        </w:rPr>
        <w:t>机构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得分次高的机构为备选机构</w:t>
      </w:r>
      <w:r>
        <w:rPr>
          <w:rFonts w:hint="eastAsia" w:ascii="仿宋" w:hAnsi="仿宋" w:eastAsia="仿宋" w:cs="仿宋"/>
          <w:sz w:val="32"/>
          <w:szCs w:val="32"/>
        </w:rPr>
        <w:t>。</w:t>
      </w:r>
    </w:p>
    <w:p w14:paraId="7069C736">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（十二）</w:t>
      </w:r>
      <w:r>
        <w:rPr>
          <w:rFonts w:hint="eastAsia" w:ascii="仿宋" w:hAnsi="仿宋" w:eastAsia="仿宋" w:cs="仿宋"/>
          <w:sz w:val="32"/>
          <w:szCs w:val="32"/>
        </w:rPr>
        <w:t>两家或两家以上机构最终得分相同的，按以下顺序确定排序：（1）</w:t>
      </w:r>
      <w:r>
        <w:rPr>
          <w:rFonts w:hint="eastAsia" w:ascii="仿宋" w:hAnsi="仿宋" w:eastAsia="仿宋" w:cs="仿宋"/>
          <w:sz w:val="32"/>
          <w:szCs w:val="32"/>
          <w:lang w:val="en-US" w:eastAsia="zh-CN"/>
        </w:rPr>
        <w:t>相关业绩</w:t>
      </w:r>
      <w:r>
        <w:rPr>
          <w:rFonts w:hint="eastAsia" w:ascii="仿宋" w:hAnsi="仿宋" w:eastAsia="仿宋" w:cs="仿宋"/>
          <w:sz w:val="32"/>
          <w:szCs w:val="32"/>
        </w:rPr>
        <w:t>得分较高者优先；（2）服务方案可行性得分较高者优先；（3）报价较低者优先。</w:t>
      </w:r>
    </w:p>
    <w:p w14:paraId="76CEEB75">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（十三）首选</w:t>
      </w:r>
      <w:r>
        <w:rPr>
          <w:rFonts w:hint="eastAsia" w:ascii="仿宋" w:hAnsi="仿宋" w:eastAsia="仿宋" w:cs="仿宋"/>
          <w:sz w:val="32"/>
          <w:szCs w:val="32"/>
        </w:rPr>
        <w:t>机构放弃中选、因不可抗力不能履职或被取消中选资格的，</w:t>
      </w:r>
      <w:r>
        <w:rPr>
          <w:rFonts w:hint="eastAsia" w:ascii="仿宋" w:hAnsi="仿宋" w:eastAsia="仿宋" w:cs="仿宋"/>
          <w:sz w:val="32"/>
          <w:szCs w:val="32"/>
          <w:lang w:val="en-US" w:eastAsia="zh-CN"/>
        </w:rPr>
        <w:t>由备选机构递补</w:t>
      </w:r>
      <w:r>
        <w:rPr>
          <w:rFonts w:hint="eastAsia" w:ascii="仿宋" w:hAnsi="仿宋" w:eastAsia="仿宋" w:cs="仿宋"/>
          <w:sz w:val="32"/>
          <w:szCs w:val="32"/>
        </w:rPr>
        <w:t>。</w:t>
      </w:r>
    </w:p>
    <w:p w14:paraId="38B717A4">
      <w:pPr>
        <w:spacing w:before="0" w:after="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（十四）</w:t>
      </w:r>
      <w:r>
        <w:rPr>
          <w:rFonts w:hint="eastAsia" w:ascii="仿宋" w:hAnsi="仿宋" w:eastAsia="仿宋" w:cs="仿宋"/>
          <w:sz w:val="32"/>
          <w:szCs w:val="32"/>
        </w:rPr>
        <w:t>管理人将评审结果、评审得分及</w:t>
      </w:r>
      <w:r>
        <w:rPr>
          <w:rFonts w:hint="eastAsia" w:ascii="仿宋" w:hAnsi="仿宋" w:eastAsia="仿宋" w:cs="仿宋"/>
          <w:sz w:val="32"/>
          <w:szCs w:val="32"/>
          <w:lang w:val="en-US" w:eastAsia="zh-CN"/>
        </w:rPr>
        <w:t>首选、备选</w:t>
      </w:r>
      <w:r>
        <w:rPr>
          <w:rFonts w:hint="eastAsia" w:ascii="仿宋" w:hAnsi="仿宋" w:eastAsia="仿宋" w:cs="仿宋"/>
          <w:sz w:val="32"/>
          <w:szCs w:val="32"/>
        </w:rPr>
        <w:t>机构名单书面报告钦州市钦南区人民法院。经法院审核同意后，管理人向中选机构发出中选通知书，并在</w:t>
      </w:r>
      <w:r>
        <w:rPr>
          <w:rFonts w:hint="eastAsia" w:ascii="仿宋" w:hAnsi="仿宋" w:eastAsia="仿宋" w:cs="仿宋"/>
          <w:sz w:val="32"/>
          <w:szCs w:val="32"/>
          <w:lang w:val="en-US" w:eastAsia="zh-CN"/>
        </w:rPr>
        <w:t>三</w:t>
      </w:r>
      <w:r>
        <w:rPr>
          <w:rFonts w:hint="eastAsia" w:ascii="仿宋" w:hAnsi="仿宋" w:eastAsia="仿宋" w:cs="仿宋"/>
          <w:sz w:val="32"/>
          <w:szCs w:val="32"/>
        </w:rPr>
        <w:t>个工作日内签订委托服务合同。</w:t>
      </w:r>
    </w:p>
    <w:p w14:paraId="7C3A4CAD">
      <w:pPr>
        <w:keepNext/>
        <w:keepLines/>
        <w:spacing w:before="300" w:after="150" w:line="360" w:lineRule="auto"/>
        <w:jc w:val="center"/>
        <w:rPr>
          <w:rFonts w:hint="eastAsia" w:ascii="仿宋" w:hAnsi="仿宋" w:eastAsia="仿宋" w:cs="仿宋"/>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附 则</w:t>
      </w:r>
    </w:p>
    <w:p w14:paraId="372E9A3F">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lang w:val="en-US" w:eastAsia="zh-CN"/>
        </w:rPr>
        <w:t>（十五）</w:t>
      </w:r>
      <w:r>
        <w:rPr>
          <w:rFonts w:hint="eastAsia" w:ascii="仿宋" w:hAnsi="仿宋" w:eastAsia="仿宋" w:cs="仿宋"/>
          <w:sz w:val="32"/>
          <w:szCs w:val="32"/>
        </w:rPr>
        <w:t>本细则未尽</w:t>
      </w:r>
      <w:r>
        <w:rPr>
          <w:rFonts w:hint="eastAsia" w:ascii="仿宋" w:hAnsi="仿宋" w:eastAsia="仿宋" w:cs="仿宋"/>
          <w:sz w:val="32"/>
          <w:szCs w:val="32"/>
          <w:lang w:val="en-US" w:eastAsia="zh-CN"/>
        </w:rPr>
        <w:t>事宜</w:t>
      </w:r>
      <w:r>
        <w:rPr>
          <w:rFonts w:hint="eastAsia" w:ascii="仿宋" w:hAnsi="仿宋" w:eastAsia="仿宋" w:cs="仿宋"/>
          <w:sz w:val="32"/>
          <w:szCs w:val="32"/>
        </w:rPr>
        <w:t>，由管理人根据相关法律法规和本案实际情况确定。</w:t>
      </w:r>
    </w:p>
    <w:p w14:paraId="68E6B577">
      <w:pPr>
        <w:spacing w:before="0" w:after="0" w:line="360" w:lineRule="auto"/>
        <w:ind w:firstLine="480"/>
        <w:jc w:val="both"/>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十六</w:t>
      </w:r>
      <w:r>
        <w:rPr>
          <w:rFonts w:hint="eastAsia" w:ascii="仿宋" w:hAnsi="仿宋" w:eastAsia="仿宋" w:cs="仿宋"/>
          <w:sz w:val="32"/>
          <w:szCs w:val="32"/>
          <w:lang w:eastAsia="zh-CN"/>
        </w:rPr>
        <w:t>）</w:t>
      </w:r>
      <w:r>
        <w:rPr>
          <w:rFonts w:hint="eastAsia" w:ascii="仿宋" w:hAnsi="仿宋" w:eastAsia="仿宋" w:cs="仿宋"/>
          <w:sz w:val="32"/>
          <w:szCs w:val="32"/>
        </w:rPr>
        <w:t>本细则由威立雅环保科技（钦州）有限公司管理人负责解释。</w:t>
      </w:r>
      <w:bookmarkStart w:id="0" w:name="_GoBack"/>
      <w:bookmarkEnd w:id="0"/>
    </w:p>
    <w:p w14:paraId="2B640FB8">
      <w:pPr>
        <w:spacing w:before="400"/>
        <w:jc w:val="right"/>
        <w:rPr>
          <w:rFonts w:hint="eastAsia" w:ascii="仿宋" w:hAnsi="仿宋" w:eastAsia="仿宋" w:cs="仿宋"/>
          <w:sz w:val="32"/>
          <w:szCs w:val="32"/>
        </w:rPr>
      </w:pPr>
    </w:p>
    <w:p w14:paraId="62258D2A">
      <w:pPr>
        <w:spacing w:before="200"/>
        <w:jc w:val="right"/>
        <w:rPr>
          <w:rFonts w:hint="eastAsia" w:ascii="仿宋" w:hAnsi="仿宋" w:eastAsia="仿宋" w:cs="仿宋"/>
          <w:sz w:val="32"/>
          <w:szCs w:val="32"/>
        </w:rPr>
      </w:pPr>
      <w:r>
        <w:rPr>
          <w:rFonts w:hint="eastAsia" w:ascii="仿宋" w:hAnsi="仿宋" w:eastAsia="仿宋" w:cs="仿宋"/>
          <w:sz w:val="32"/>
          <w:szCs w:val="32"/>
        </w:rPr>
        <w:t>威立雅环保科技（钦州）有限公司管理人</w:t>
      </w:r>
    </w:p>
    <w:p w14:paraId="51CD96FE">
      <w:pPr>
        <w:spacing w:before="0" w:after="0" w:line="360" w:lineRule="auto"/>
        <w:jc w:val="right"/>
        <w:rPr>
          <w:rFonts w:hint="eastAsia" w:ascii="仿宋" w:hAnsi="仿宋" w:eastAsia="仿宋" w:cs="仿宋"/>
          <w:sz w:val="32"/>
          <w:szCs w:val="32"/>
        </w:rPr>
      </w:pPr>
    </w:p>
    <w:p w14:paraId="46BECC2F">
      <w:pPr>
        <w:spacing w:before="0" w:after="0" w:line="360" w:lineRule="auto"/>
        <w:jc w:val="cente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2026年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4</w:t>
      </w:r>
      <w:r>
        <w:rPr>
          <w:rFonts w:hint="eastAsia" w:ascii="仿宋" w:hAnsi="仿宋" w:eastAsia="仿宋" w:cs="仿宋"/>
          <w:sz w:val="32"/>
          <w:szCs w:val="32"/>
        </w:rPr>
        <w:t>日</w:t>
      </w:r>
    </w:p>
    <w:sectPr>
      <w:footerReference r:id="rId3" w:type="default"/>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Emoji">
    <w:panose1 w:val="020B0502040204020203"/>
    <w:charset w:val="00"/>
    <w:family w:val="auto"/>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D48DC">
    <w:pPr>
      <w:jc w:val="center"/>
    </w:pPr>
    <w:r>
      <w:rPr>
        <w:rFonts w:ascii="Times New Roman" w:hAnsi="Times New Roman" w:eastAsia="宋体" w:cs="Times New Roman"/>
        <w:sz w:val="20"/>
        <w:szCs w:val="20"/>
      </w:rPr>
      <w:t xml:space="preserve">第 </w:t>
    </w:r>
    <w:r>
      <w:rPr>
        <w:rFonts w:ascii="Times New Roman" w:hAnsi="Times New Roman" w:eastAsia="宋体" w:cs="Times New Roman"/>
        <w:sz w:val="20"/>
        <w:szCs w:val="20"/>
      </w:rPr>
      <w:fldChar w:fldCharType="begin"/>
    </w:r>
    <w:r>
      <w:rPr>
        <w:rFonts w:ascii="Times New Roman" w:hAnsi="Times New Roman" w:eastAsia="宋体" w:cs="Times New Roman"/>
        <w:sz w:val="20"/>
        <w:szCs w:val="20"/>
      </w:rPr>
      <w:instrText xml:space="preserve">PAGE</w:instrText>
    </w:r>
    <w:r>
      <w:rPr>
        <w:rFonts w:ascii="Times New Roman" w:hAnsi="Times New Roman" w:eastAsia="宋体" w:cs="Times New Roman"/>
        <w:sz w:val="20"/>
        <w:szCs w:val="20"/>
      </w:rPr>
      <w:fldChar w:fldCharType="separate"/>
    </w:r>
    <w:r>
      <w:rPr>
        <w:rFonts w:ascii="Times New Roman" w:hAnsi="Times New Roman" w:eastAsia="宋体" w:cs="Times New Roman"/>
        <w:sz w:val="20"/>
        <w:szCs w:val="20"/>
      </w:rPr>
      <w:fldChar w:fldCharType="end"/>
    </w:r>
    <w:r>
      <w:rPr>
        <w:rFonts w:ascii="Times New Roman" w:hAnsi="Times New Roman" w:eastAsia="宋体" w:cs="Times New Roman"/>
        <w:sz w:val="20"/>
        <w:szCs w:val="20"/>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documentProtection w:enforcement="0"/>
  <w:compat>
    <w:useFELayout/>
    <w:compatSetting w:name="compatibilityMode" w:uri="http://schemas.microsoft.com/office/word" w:val="15"/>
  </w:compat>
  <w:rsids>
    <w:rsidRoot w:val="00000000"/>
    <w:rsid w:val="00E46AD2"/>
    <w:rsid w:val="156B6367"/>
    <w:rsid w:val="5074015B"/>
    <w:rsid w:val="70885228"/>
    <w:rsid w:val="748C2F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8"/>
      <w:szCs w:val="28"/>
    </w:rPr>
  </w:style>
  <w:style w:type="paragraph" w:styleId="2">
    <w:name w:val="heading 1"/>
    <w:next w:val="1"/>
    <w:qFormat/>
    <w:uiPriority w:val="0"/>
    <w:pPr>
      <w:spacing w:line="360" w:lineRule="auto"/>
    </w:pPr>
    <w:rPr>
      <w:rFonts w:ascii="Times New Roman" w:hAnsi="Times New Roman" w:eastAsia="宋体" w:cs="Times New Roman"/>
      <w:color w:val="2E74B5"/>
      <w:sz w:val="32"/>
      <w:szCs w:val="32"/>
    </w:rPr>
  </w:style>
  <w:style w:type="paragraph" w:styleId="3">
    <w:name w:val="heading 2"/>
    <w:next w:val="1"/>
    <w:qFormat/>
    <w:uiPriority w:val="0"/>
    <w:pPr>
      <w:spacing w:line="360" w:lineRule="auto"/>
    </w:pPr>
    <w:rPr>
      <w:rFonts w:ascii="Times New Roman" w:hAnsi="Times New Roman" w:eastAsia="宋体" w:cs="Times New Roman"/>
      <w:color w:val="2E74B5"/>
      <w:sz w:val="26"/>
      <w:szCs w:val="26"/>
    </w:rPr>
  </w:style>
  <w:style w:type="paragraph" w:styleId="4">
    <w:name w:val="heading 3"/>
    <w:next w:val="1"/>
    <w:qFormat/>
    <w:uiPriority w:val="0"/>
    <w:pPr>
      <w:spacing w:line="360" w:lineRule="auto"/>
    </w:pPr>
    <w:rPr>
      <w:rFonts w:ascii="Times New Roman" w:hAnsi="Times New Roman" w:eastAsia="宋体" w:cs="Times New Roman"/>
      <w:color w:val="1F4D78"/>
      <w:sz w:val="24"/>
      <w:szCs w:val="24"/>
    </w:rPr>
  </w:style>
  <w:style w:type="paragraph" w:styleId="5">
    <w:name w:val="heading 4"/>
    <w:next w:val="1"/>
    <w:qFormat/>
    <w:uiPriority w:val="0"/>
    <w:pPr>
      <w:spacing w:line="360" w:lineRule="auto"/>
    </w:pPr>
    <w:rPr>
      <w:rFonts w:ascii="Times New Roman" w:hAnsi="Times New Roman" w:eastAsia="宋体" w:cs="Times New Roman"/>
      <w:i/>
      <w:iCs/>
      <w:color w:val="2E74B5"/>
      <w:sz w:val="28"/>
      <w:szCs w:val="28"/>
    </w:rPr>
  </w:style>
  <w:style w:type="paragraph" w:styleId="6">
    <w:name w:val="heading 5"/>
    <w:next w:val="1"/>
    <w:qFormat/>
    <w:uiPriority w:val="0"/>
    <w:pPr>
      <w:spacing w:line="360" w:lineRule="auto"/>
    </w:pPr>
    <w:rPr>
      <w:rFonts w:ascii="Times New Roman" w:hAnsi="Times New Roman" w:eastAsia="宋体" w:cs="Times New Roman"/>
      <w:color w:val="2E74B5"/>
      <w:sz w:val="28"/>
      <w:szCs w:val="28"/>
    </w:rPr>
  </w:style>
  <w:style w:type="paragraph" w:styleId="7">
    <w:name w:val="heading 6"/>
    <w:next w:val="1"/>
    <w:qFormat/>
    <w:uiPriority w:val="0"/>
    <w:pPr>
      <w:spacing w:line="360" w:lineRule="auto"/>
    </w:pPr>
    <w:rPr>
      <w:rFonts w:ascii="Times New Roman" w:hAnsi="Times New Roman" w:eastAsia="宋体" w:cs="Times New Roman"/>
      <w:color w:val="1F4D78"/>
      <w:sz w:val="28"/>
      <w:szCs w:val="28"/>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8">
    <w:name w:val="endnote text"/>
    <w:link w:val="19"/>
    <w:semiHidden/>
    <w:unhideWhenUsed/>
    <w:uiPriority w:val="99"/>
    <w:pPr>
      <w:spacing w:after="0" w:line="240" w:lineRule="auto"/>
    </w:pPr>
    <w:rPr>
      <w:rFonts w:ascii="Times New Roman" w:hAnsi="Times New Roman" w:eastAsia="宋体" w:cs="Times New Roman"/>
      <w:color w:val="000000"/>
      <w:sz w:val="20"/>
      <w:szCs w:val="20"/>
    </w:rPr>
  </w:style>
  <w:style w:type="paragraph" w:styleId="9">
    <w:name w:val="footnote text"/>
    <w:link w:val="18"/>
    <w:semiHidden/>
    <w:unhideWhenUsed/>
    <w:uiPriority w:val="99"/>
    <w:pPr>
      <w:spacing w:after="0" w:line="240" w:lineRule="auto"/>
    </w:pPr>
    <w:rPr>
      <w:rFonts w:ascii="Times New Roman" w:hAnsi="Times New Roman" w:eastAsia="宋体" w:cs="Times New Roman"/>
      <w:color w:val="000000"/>
      <w:sz w:val="20"/>
      <w:szCs w:val="20"/>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qFormat/>
    <w:uiPriority w:val="0"/>
    <w:pPr>
      <w:spacing w:line="360" w:lineRule="auto"/>
    </w:pPr>
    <w:rPr>
      <w:rFonts w:ascii="Times New Roman" w:hAnsi="Times New Roman" w:eastAsia="宋体" w:cs="Times New Roman"/>
      <w:color w:val="000000"/>
      <w:sz w:val="56"/>
      <w:szCs w:val="56"/>
    </w:rPr>
  </w:style>
  <w:style w:type="character" w:styleId="14">
    <w:name w:val="endnote reference"/>
    <w:semiHidden/>
    <w:unhideWhenUsed/>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uiPriority w:val="99"/>
    <w:rPr>
      <w:vertAlign w:val="superscript"/>
    </w:rPr>
  </w:style>
  <w:style w:type="paragraph" w:styleId="17">
    <w:name w:val="List Paragraph"/>
    <w:qFormat/>
    <w:uiPriority w:val="0"/>
    <w:pPr>
      <w:spacing w:line="360" w:lineRule="auto"/>
    </w:pPr>
    <w:rPr>
      <w:rFonts w:ascii="Times New Roman" w:hAnsi="Times New Roman" w:eastAsia="宋体" w:cs="Times New Roman"/>
      <w:color w:val="000000"/>
      <w:sz w:val="28"/>
      <w:szCs w:val="28"/>
    </w:rPr>
  </w:style>
  <w:style w:type="character" w:customStyle="1" w:styleId="18">
    <w:name w:val="Footnote Text Char"/>
    <w:link w:val="9"/>
    <w:semiHidden/>
    <w:unhideWhenUsed/>
    <w:uiPriority w:val="99"/>
    <w:rPr>
      <w:sz w:val="20"/>
      <w:szCs w:val="20"/>
    </w:rPr>
  </w:style>
  <w:style w:type="character" w:customStyle="1" w:styleId="19">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3289</Words>
  <Characters>3399</Characters>
  <TotalTime>35</TotalTime>
  <ScaleCrop>false</ScaleCrop>
  <LinksUpToDate>false</LinksUpToDate>
  <CharactersWithSpaces>3470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2026-09-03T10:57:00Z</dcterms:created>
  <dc:creator>Un-named</dc:creator>
  <cp:lastModifiedBy>钧亚律所-利玲</cp:lastModifiedBy>
  <dcterms:modified xsi:type="dcterms:W3CDTF">2026-09-04T11:43:52Z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64018705","ProduceID":"7625848272745414948-data_volume/files/所有对话/主对话/综合评审标准及评分细则.docx","ReservedCode1":"","ContentPropagator":"001191110102MACQD9K64028705","PropagateID":"327022872632484#1788433131006","ReservedCode2":""}</vt:lpwstr>
  </property>
  <property fmtid="{D5CDD505-2E9C-101B-9397-08002B2CF9AE}" pid="3" name="KSOTemplateDocerSaveRecord">
    <vt:lpwstr>eyJoZGlkIjoiMzEwNTM5NzYwMDRjMzkwZTVkZjY2ODkwMGIxNGU0OTUiLCJ1c2VySWQiOiIyODkzMzg3NTIifQ==</vt:lpwstr>
  </property>
  <property fmtid="{D5CDD505-2E9C-101B-9397-08002B2CF9AE}" pid="4" name="KSOProductBuildVer">
    <vt:lpwstr>2052-12.1.0.28043</vt:lpwstr>
  </property>
  <property fmtid="{D5CDD505-2E9C-101B-9397-08002B2CF9AE}" pid="5" name="ICV">
    <vt:lpwstr>AAF23452873343AC8F07E777BC1EB670_12</vt:lpwstr>
  </property>
</Properties>
</file>